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9"/>
        <w:ind w:right="0"/>
        <w:jc w:val="right"/>
        <w:keepNext/>
        <w:widowControl w:val="off"/>
        <w:rPr>
          <w:highlight w:val="white"/>
        </w:rPr>
      </w:pPr>
      <w:r>
        <w:rPr>
          <w:i/>
          <w:sz w:val="16"/>
          <w:szCs w:val="16"/>
          <w:highlight w:val="white"/>
        </w:rPr>
        <w:t xml:space="preserve">   </w:t>
      </w:r>
      <w:r>
        <w:rPr>
          <w:i/>
          <w:sz w:val="16"/>
          <w:szCs w:val="16"/>
          <w:highlight w:val="white"/>
        </w:rPr>
        <w:t xml:space="preserve"> </w:t>
      </w:r>
      <w:r>
        <w:rPr>
          <w:b w:val="0"/>
          <w:i/>
          <w:sz w:val="16"/>
          <w:szCs w:val="16"/>
          <w:highlight w:val="white"/>
        </w:rPr>
        <w:t xml:space="preserve">Для </w:t>
      </w:r>
      <w:r>
        <w:rPr>
          <w:b w:val="0"/>
          <w:i/>
          <w:sz w:val="16"/>
          <w:szCs w:val="16"/>
          <w:highlight w:val="white"/>
        </w:rPr>
        <w:t xml:space="preserve">бюджетно</w:t>
      </w:r>
      <w:r>
        <w:rPr>
          <w:b w:val="0"/>
          <w:i/>
          <w:sz w:val="16"/>
          <w:szCs w:val="16"/>
          <w:highlight w:val="white"/>
        </w:rPr>
        <w:t xml:space="preserve">й организа</w:t>
      </w:r>
      <w:r>
        <w:rPr>
          <w:b w:val="0"/>
          <w:i/>
          <w:sz w:val="16"/>
          <w:szCs w:val="16"/>
          <w:highlight w:val="white"/>
        </w:rPr>
        <w:t xml:space="preserve">ции</w:t>
      </w:r>
      <w:r>
        <w:rPr>
          <w:b w:val="0"/>
          <w:i/>
          <w:sz w:val="16"/>
          <w:szCs w:val="16"/>
          <w:highlight w:val="white"/>
        </w:rPr>
        <w:t xml:space="preserve">, с применением в расчётах с 1 по 6 ценовой категории</w:t>
      </w:r>
      <w:r>
        <w:rPr>
          <w:highlight w:val="white"/>
        </w:rPr>
      </w:r>
      <w:r>
        <w:rPr>
          <w:highlight w:val="white"/>
        </w:rPr>
      </w:r>
    </w:p>
    <w:p>
      <w:pPr>
        <w:pStyle w:val="1009"/>
        <w:ind w:right="0"/>
        <w:keepNext/>
        <w:widowControl w:val="off"/>
        <w:rPr>
          <w:b w:val="0"/>
          <w:i/>
          <w:highlight w:val="white"/>
        </w:rPr>
      </w:pPr>
      <w:r>
        <w:rPr>
          <w:b w:val="0"/>
          <w:i/>
          <w:highlight w:val="white"/>
        </w:rPr>
      </w:r>
      <w:r>
        <w:rPr>
          <w:b w:val="0"/>
          <w:i/>
          <w:highlight w:val="white"/>
        </w:rPr>
      </w:r>
      <w:r>
        <w:rPr>
          <w:b w:val="0"/>
          <w:i/>
          <w:highlight w:val="white"/>
        </w:rPr>
      </w:r>
    </w:p>
    <w:p>
      <w:pPr>
        <w:pStyle w:val="1009"/>
        <w:ind w:right="0"/>
        <w:keepNext/>
        <w:widowControl w:val="off"/>
        <w:rPr>
          <w:highlight w:val="white"/>
        </w:rPr>
      </w:pPr>
      <w:r>
        <w:rPr>
          <w:sz w:val="24"/>
          <w:szCs w:val="24"/>
          <w:highlight w:val="white"/>
        </w:rPr>
        <w:t xml:space="preserve">ДОГОВОР ЭНЕРГОСНАБЖЕНИЯ</w:t>
      </w:r>
      <w:r>
        <w:rPr>
          <w:highlight w:val="white"/>
        </w:rPr>
      </w:r>
      <w:r>
        <w:rPr>
          <w:highlight w:val="white"/>
        </w:rPr>
      </w:r>
    </w:p>
    <w:p>
      <w:pPr>
        <w:pStyle w:val="1010"/>
        <w:tabs>
          <w:tab w:val="left" w:pos="3384" w:leader="none"/>
        </w:tabs>
        <w:rPr>
          <w:rFonts w:ascii="Liberation Serif" w:hAnsi="Liberation Serif" w:cs="Liberation Serif"/>
          <w:highlight w:val="white"/>
        </w:rPr>
      </w:pPr>
      <w:r>
        <w:rPr>
          <w:highlight w:val="white"/>
        </w:rPr>
      </w:r>
      <w:r>
        <w:rPr>
          <w:highlight w:val="white"/>
        </w:rPr>
        <w:tab/>
        <w:t xml:space="preserve">  </w:t>
      </w:r>
      <w:r>
        <w:rPr>
          <w:rFonts w:ascii="Liberation Serif" w:hAnsi="Liberation Serif" w:eastAsia="Liberation Serif" w:cs="Liberation Serif"/>
          <w:highlight w:val="white"/>
        </w:rPr>
        <w:t xml:space="preserve">   (_______________________ контракт)</w:t>
      </w:r>
      <w:r>
        <w:rPr>
          <w:rFonts w:ascii="Liberation Serif" w:hAnsi="Liberation Serif" w:eastAsia="Liberation Serif" w:cs="Liberation Serif"/>
          <w:highlight w:val="white"/>
        </w:rPr>
      </w:r>
    </w:p>
    <w:p>
      <w:pPr>
        <w:pStyle w:val="1009"/>
        <w:ind w:right="0"/>
        <w:keepNext/>
        <w:widowControl w:val="off"/>
        <w:rPr>
          <w:highlight w:val="white"/>
        </w:rPr>
      </w:pPr>
      <w:r>
        <w:rPr>
          <w:highlight w:val="white"/>
        </w:rPr>
        <w:t xml:space="preserve">№ ________________</w:t>
        <w:tab/>
        <w:t xml:space="preserve">от «___»____________202__ г.</w:t>
      </w:r>
      <w:r>
        <w:rPr>
          <w:highlight w:val="white"/>
        </w:rPr>
      </w:r>
      <w:r>
        <w:rPr>
          <w:highlight w:val="white"/>
        </w:rPr>
      </w:r>
    </w:p>
    <w:p>
      <w:pPr>
        <w:pStyle w:val="1010"/>
        <w:jc w:val="center"/>
        <w:rPr>
          <w:rFonts w:ascii="Liberation Serif" w:hAnsi="Liberation Serif" w:cs="Liberation Serif"/>
          <w:highlight w:val="white"/>
        </w:rPr>
      </w:pPr>
      <w:r>
        <w:rPr>
          <w:rFonts w:ascii="Liberation Serif" w:hAnsi="Liberation Serif" w:eastAsia="Liberation Serif" w:cs="Liberation Serif"/>
          <w:b w:val="0"/>
          <w:sz w:val="18"/>
          <w:szCs w:val="18"/>
          <w:highlight w:val="white"/>
        </w:rPr>
        <w:t xml:space="preserve">код идентификатора государственного контракта ________________________</w:t>
      </w:r>
      <w:r>
        <w:rPr>
          <w:rFonts w:ascii="Liberation Serif" w:hAnsi="Liberation Serif" w:eastAsia="Liberation Serif" w:cs="Liberation Serif"/>
          <w:highlight w:val="white"/>
        </w:rPr>
      </w:r>
      <w:r>
        <w:rPr>
          <w:rFonts w:ascii="Liberation Serif" w:hAnsi="Liberation Serif" w:eastAsia="Liberation Serif" w:cs="Liberation Serif"/>
          <w:highlight w:val="white"/>
        </w:rPr>
      </w:r>
    </w:p>
    <w:p>
      <w:pPr>
        <w:pStyle w:val="1009"/>
        <w:ind w:right="0"/>
        <w:keepNext/>
        <w:widowControl w:val="off"/>
        <w:rPr>
          <w:sz w:val="16"/>
          <w:szCs w:val="16"/>
          <w:highlight w:val="white"/>
        </w:rPr>
      </w:pPr>
      <w:r>
        <w:rPr>
          <w:sz w:val="16"/>
          <w:szCs w:val="16"/>
          <w:highlight w:val="white"/>
        </w:rPr>
      </w:r>
      <w:r>
        <w:rPr>
          <w:sz w:val="16"/>
          <w:szCs w:val="16"/>
          <w:highlight w:val="white"/>
        </w:rPr>
      </w:r>
      <w:r>
        <w:rPr>
          <w:sz w:val="16"/>
          <w:szCs w:val="16"/>
          <w:highlight w:val="white"/>
        </w:rPr>
      </w:r>
    </w:p>
    <w:p>
      <w:pPr>
        <w:pStyle w:val="929"/>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Публичное акционерное общество «Саратовэнерго» (имеющее статус Гарантирующего поставщика), именуемое в дальнейшем «Поставщик», в лице________________________________</w:t>
      </w:r>
      <w:r>
        <w:rPr>
          <w:rFonts w:ascii="Liberation Serif" w:hAnsi="Liberation Serif" w:cs="Liberation Serif"/>
          <w:sz w:val="18"/>
          <w:szCs w:val="18"/>
          <w:highlight w:val="white"/>
        </w:rPr>
        <w:t xml:space="preserve">_________________________________________________________________ ___________________________________________________________, действующего на основании ________________, с одной стороны, и _____________________________________________________________________,</w:t>
      </w:r>
      <w:r>
        <w:rPr>
          <w:rFonts w:ascii="Liberation Serif" w:hAnsi="Liberation Serif" w:cs="Liberation Serif"/>
          <w:sz w:val="18"/>
          <w:szCs w:val="18"/>
          <w:highlight w:val="white"/>
        </w:rPr>
        <w:t xml:space="preserve"> именуемый(-ое) в дальнейшем «Потребитель» в лице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left="720" w:right="0" w:firstLine="720"/>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vertAlign w:val="superscript"/>
        </w:rPr>
        <w:t xml:space="preserve">(полное наименование Потребителя)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_______________________________________________, действующего на основании ____________, с другой стороны, </w:t>
      </w:r>
      <w:r>
        <w:rPr>
          <w:sz w:val="18"/>
          <w:szCs w:val="18"/>
          <w:highlight w:val="white"/>
        </w:rPr>
        <w:t xml:space="preserve">а при совместном упоминании «стороны», в рамках 44-ФЗ о</w:t>
      </w:r>
      <w:r>
        <w:rPr>
          <w:sz w:val="18"/>
          <w:szCs w:val="18"/>
          <w:highlight w:val="white"/>
        </w:rPr>
        <w:t xml:space="preserve">т 05.04.2013 «О контрактной системе в сфере закупок товаров, работ, услуг для обеспечения государственных и муниципальных нужд» заключили настоящий договор энергоснабжения (________________________контракт), именуемый в дальнейшем «договор», о нижеследующем</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8"/>
        </w:numPr>
        <w:ind w:left="0" w:firstLine="284"/>
        <w:jc w:val="center"/>
        <w:keepNext/>
        <w:spacing w:before="240"/>
        <w:widowControl w:val="off"/>
        <w:tabs>
          <w:tab w:val="left" w:pos="0" w:leader="none"/>
        </w:tabs>
        <w:rPr>
          <w:rFonts w:ascii="Liberation Serif" w:hAnsi="Liberation Serif" w:cs="Liberation Serif"/>
          <w:sz w:val="18"/>
          <w:szCs w:val="18"/>
          <w:highlight w:val="white"/>
        </w:rPr>
        <w:outlineLvl w:val="0"/>
      </w:pPr>
      <w:r>
        <w:rPr>
          <w:rFonts w:ascii="Liberation Serif" w:hAnsi="Liberation Serif" w:cs="Liberation Serif"/>
          <w:b/>
          <w:sz w:val="18"/>
          <w:szCs w:val="18"/>
          <w:highlight w:val="white"/>
        </w:rPr>
        <w:t xml:space="preserve">Предмет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2"/>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Поставщик осуществляет продажу потребителю электрической энергии (мощности), урегулирует </w:t>
      </w:r>
      <w:r>
        <w:rPr>
          <w:rFonts w:ascii="Liberation Serif" w:hAnsi="Liberation Serif" w:cs="Liberation Serif"/>
          <w:sz w:val="18"/>
          <w:szCs w:val="18"/>
          <w:highlight w:val="white"/>
          <w:lang w:val="en-US"/>
        </w:rPr>
        <w:t xml:space="preserve">c</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системообразующей территориальной </w:t>
      </w:r>
      <w:r>
        <w:rPr>
          <w:rFonts w:ascii="Liberation Serif" w:hAnsi="Liberation Serif" w:cs="Liberation Serif"/>
          <w:sz w:val="18"/>
          <w:szCs w:val="18"/>
          <w:highlight w:val="white"/>
        </w:rPr>
        <w:t xml:space="preserve">сетевой организацией отношения по оказанию услуг по передаче электрической энергии до точек поставки потребителя, оказывает иные услуги, оказание которых </w:t>
      </w:r>
      <w:r>
        <w:rPr>
          <w:rFonts w:ascii="Liberation Serif" w:hAnsi="Liberation Serif" w:cs="Liberation Serif"/>
          <w:sz w:val="18"/>
          <w:szCs w:val="18"/>
          <w:highlight w:val="white"/>
        </w:rPr>
        <w:t xml:space="preserve">является неотъемлемой частью процесса поставки электрической энергии потребителю, а потребитель оплачивает приобретаемую электрическую энергию (мощность) и оказанные услуги, в соответствии с условиями настоящего договора и действующего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2"/>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При исполнении настоящего договора стороны договорились руководствоваться действующим законодательством РФ, решениями органов исполнительной власти, уполномоченных в области г</w:t>
      </w:r>
      <w:r>
        <w:rPr>
          <w:rFonts w:ascii="Liberation Serif" w:hAnsi="Liberation Serif" w:cs="Liberation Serif"/>
          <w:sz w:val="18"/>
          <w:szCs w:val="18"/>
          <w:highlight w:val="white"/>
        </w:rPr>
        <w:t xml:space="preserve">осударственного регулирования тарифов, другими действующими нормативными и правовыми актами Российской Федерации, соблюдать требования оперативно-технологического (диспетчерского) управления процессом передачи, приема и распределения электрической энергии.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2"/>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В случае вступления в силу после заключения настоящего дого</w:t>
      </w:r>
      <w:r>
        <w:rPr>
          <w:rFonts w:ascii="Liberation Serif" w:hAnsi="Liberation Serif" w:cs="Liberation Serif"/>
          <w:sz w:val="18"/>
          <w:szCs w:val="18"/>
          <w:highlight w:val="white"/>
        </w:rPr>
        <w:t xml:space="preserve">вора законов или иных нормативно-правовых актов, устанавливающих иные правила деятельности сторон или исполнения публичных договоров, установленные такими документами новые нормы обязательны для исполнения сторонами с момента их вступления в законную силу.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jc w:val="center"/>
        <w:keepNext/>
        <w:widowControl w:val="off"/>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2.   Обязанности и права сторон.</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2.1. Поставщик обязуется: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Осуществлять</w:t>
      </w:r>
      <w:r>
        <w:rPr>
          <w:rFonts w:ascii="Liberation Serif" w:hAnsi="Liberation Serif" w:cs="Liberation Serif"/>
          <w:sz w:val="18"/>
          <w:szCs w:val="18"/>
          <w:highlight w:val="white"/>
        </w:rPr>
        <w:t xml:space="preserve"> продажу потребителю электрической энергии (мощност</w:t>
      </w:r>
      <w:r>
        <w:rPr>
          <w:rFonts w:ascii="Liberation Serif" w:hAnsi="Liberation Serif" w:cs="Liberation Serif"/>
          <w:sz w:val="18"/>
          <w:szCs w:val="18"/>
          <w:highlight w:val="white"/>
        </w:rPr>
        <w:t xml:space="preserve">и</w:t>
      </w:r>
      <w:r>
        <w:rPr>
          <w:rFonts w:ascii="Liberation Serif" w:hAnsi="Liberation Serif" w:cs="Liberation Serif"/>
          <w:sz w:val="18"/>
          <w:szCs w:val="18"/>
          <w:highlight w:val="white"/>
        </w:rPr>
        <w:t xml:space="preserve">), качество которой должно соответствовать требованиям законодательства РФ (в том числе ГОСТ 32144-2013) в необходимом ему объеме согласно Приложению № 1 к настоящему договору, не </w:t>
      </w:r>
      <w:r>
        <w:rPr>
          <w:rFonts w:ascii="Liberation Serif" w:hAnsi="Liberation Serif" w:cs="Liberation Serif"/>
          <w:sz w:val="18"/>
          <w:szCs w:val="18"/>
          <w:highlight w:val="white"/>
        </w:rPr>
        <w:t xml:space="preserve">превышающему</w:t>
      </w:r>
      <w:r>
        <w:rPr>
          <w:rFonts w:ascii="Liberation Serif" w:hAnsi="Liberation Serif" w:cs="Liberation Serif"/>
          <w:sz w:val="18"/>
          <w:szCs w:val="18"/>
          <w:highlight w:val="white"/>
        </w:rPr>
        <w:t xml:space="preserve"> величину максимальной мощности и в соответствии с категорией надежности по точкам поставки потребителя (энергоснабжаемые объекты потребителя), </w:t>
      </w:r>
      <w:r>
        <w:rPr>
          <w:rFonts w:ascii="Liberation Serif" w:hAnsi="Liberation Serif" w:cs="Liberation Serif"/>
          <w:sz w:val="18"/>
          <w:szCs w:val="18"/>
          <w:highlight w:val="white"/>
        </w:rPr>
        <w:t xml:space="preserve">определенной</w:t>
      </w:r>
      <w:r>
        <w:rPr>
          <w:rFonts w:ascii="Liberation Serif" w:hAnsi="Liberation Serif" w:cs="Liberation Serif"/>
          <w:sz w:val="18"/>
          <w:szCs w:val="18"/>
          <w:highlight w:val="white"/>
        </w:rPr>
        <w:t xml:space="preserve"> Приложени</w:t>
      </w:r>
      <w:r>
        <w:rPr>
          <w:rFonts w:ascii="Liberation Serif" w:hAnsi="Liberation Serif" w:cs="Liberation Serif"/>
          <w:sz w:val="18"/>
          <w:szCs w:val="18"/>
          <w:highlight w:val="white"/>
        </w:rPr>
        <w:t xml:space="preserve">ем</w:t>
      </w:r>
      <w:r>
        <w:rPr>
          <w:rFonts w:ascii="Liberation Serif" w:hAnsi="Liberation Serif" w:cs="Liberation Serif"/>
          <w:sz w:val="18"/>
          <w:szCs w:val="18"/>
          <w:highlight w:val="white"/>
        </w:rPr>
        <w:t xml:space="preserve"> № 3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Заключать в интересах потребителя с системообразующей территориальной сетевой организацией, указанной в Приложении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5 к договору, договор на оказание услуг по передаче электрической энергии, а также урегулировать отношения с субъектами электроэнергетики, оказывающими иные услуги, неразрывно связанные с процессом снабж</w:t>
      </w:r>
      <w:r>
        <w:rPr>
          <w:rFonts w:ascii="Liberation Serif" w:hAnsi="Liberation Serif" w:cs="Liberation Serif"/>
          <w:sz w:val="18"/>
          <w:szCs w:val="18"/>
          <w:highlight w:val="white"/>
        </w:rPr>
        <w:t xml:space="preserve">ения электрической энергией. В свою очередь, системообразующая территориальная сетевая организация, при необходимости, самостоятельно заключает соответствующие договоры, на основании которых ей оказывают услуги по передаче электрической энергии (мощности) </w:t>
      </w:r>
      <w:r>
        <w:rPr>
          <w:rFonts w:ascii="Liberation Serif" w:hAnsi="Liberation Serif" w:cs="Liberation Serif"/>
          <w:sz w:val="18"/>
          <w:szCs w:val="18"/>
          <w:highlight w:val="white"/>
        </w:rPr>
        <w:t xml:space="preserve">организация по управлению единой (национальной) общероссийской электрической сетью и (или) территориально сетевые организации, владеющие объектами электросетевого хозяйства, использование которых необходимо для передачи электрической энергии (мощности) пот</w:t>
      </w:r>
      <w:r>
        <w:rPr>
          <w:rFonts w:ascii="Liberation Serif" w:hAnsi="Liberation Serif" w:cs="Liberation Serif"/>
          <w:sz w:val="18"/>
          <w:szCs w:val="18"/>
          <w:highlight w:val="white"/>
        </w:rPr>
        <w:t xml:space="preserve">ребителю. В рамках настоящего договора сетевой организацией является организация, владеющая объектами электросетевого хозяйства с использованием которых осуществляется передача электрической энергии потребителю, согласно Приложению №5 к настоящему договору</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Публиковать на официальном сайте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w:instrText>
      </w:r>
      <w:r>
        <w:rPr>
          <w:rFonts w:ascii="Liberation Serif" w:hAnsi="Liberation Serif" w:cs="Liberation Serif"/>
          <w:sz w:val="18"/>
          <w:szCs w:val="18"/>
          <w:highlight w:val="white"/>
        </w:rPr>
        <w:fldChar w:fldCharType="separate"/>
      </w:r>
      <w:r>
        <w:rPr>
          <w:rFonts w:ascii="Liberation Serif" w:hAnsi="Liberation Serif" w:cs="Liberation Serif"/>
          <w:color w:val="000000"/>
          <w:sz w:val="18"/>
          <w:szCs w:val="18"/>
          <w:highlight w:val="white"/>
          <w:lang w:val="en-US"/>
        </w:rPr>
        <w:t xml:space="preserve">www</w:t>
      </w:r>
      <w:r>
        <w:rPr>
          <w:rFonts w:ascii="Liberation Serif" w:hAnsi="Liberation Serif" w:cs="Liberation Serif"/>
          <w:color w:val="000000"/>
          <w:sz w:val="18"/>
          <w:szCs w:val="18"/>
          <w:highlight w:val="white"/>
        </w:rPr>
        <w:t xml:space="preserve">.</w:t>
      </w:r>
      <w:r>
        <w:rPr>
          <w:rFonts w:ascii="Liberation Serif" w:hAnsi="Liberation Serif" w:cs="Liberation Serif"/>
          <w:color w:val="000000"/>
          <w:sz w:val="18"/>
          <w:szCs w:val="18"/>
          <w:highlight w:val="white"/>
          <w:lang w:val="en-US"/>
        </w:rPr>
        <w:t xml:space="preserve">saratovenergo</w:t>
      </w:r>
      <w:r>
        <w:rPr>
          <w:rFonts w:ascii="Liberation Serif" w:hAnsi="Liberation Serif" w:cs="Liberation Serif"/>
          <w:color w:val="000000"/>
          <w:sz w:val="18"/>
          <w:szCs w:val="18"/>
          <w:highlight w:val="white"/>
        </w:rPr>
        <w:t xml:space="preserve">.</w:t>
      </w:r>
      <w:r>
        <w:rPr>
          <w:rFonts w:ascii="Liberation Serif" w:hAnsi="Liberation Serif" w:cs="Liberation Serif"/>
          <w:color w:val="000000"/>
          <w:sz w:val="18"/>
          <w:szCs w:val="18"/>
          <w:highlight w:val="white"/>
          <w:lang w:val="en-US"/>
        </w:rPr>
        <w:t xml:space="preserve">ru</w:t>
      </w:r>
      <w:r>
        <w:rPr>
          <w:rFonts w:ascii="Liberation Serif" w:hAnsi="Liberation Serif" w:cs="Liberation Serif"/>
          <w:color w:val="000000"/>
          <w:sz w:val="18"/>
          <w:szCs w:val="18"/>
          <w:highlight w:val="white"/>
        </w:rPr>
        <w:t xml:space="preserve">.</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в сети «Интернет» предельные уровни нерегулируемых цен для ценовых ка</w:t>
      </w:r>
      <w:r>
        <w:rPr>
          <w:rFonts w:ascii="Liberation Serif" w:hAnsi="Liberation Serif" w:cs="Liberation Serif"/>
          <w:sz w:val="18"/>
          <w:szCs w:val="18"/>
          <w:highlight w:val="white"/>
        </w:rPr>
        <w:t xml:space="preserve">тегорий не позднее, чем через 15 дней после окончания расчетного периода. Так же предельные уровни нерегулируемых цен и составляющие предельных уровней нерегулируемых цен доводить до сведения потребителя в счетах на оплату электрической энергии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реорганизации, изменения форм собственности, банковских реквизитов, почтового и юридического адреса, адреса веб-сайта, электронной почты, поставщик обязан уведом</w:t>
      </w:r>
      <w:r>
        <w:rPr>
          <w:rFonts w:ascii="Liberation Serif" w:hAnsi="Liberation Serif" w:cs="Liberation Serif"/>
          <w:sz w:val="18"/>
          <w:szCs w:val="18"/>
          <w:highlight w:val="white"/>
        </w:rPr>
        <w:t xml:space="preserve">лять</w:t>
      </w:r>
      <w:r>
        <w:rPr>
          <w:rFonts w:ascii="Liberation Serif" w:hAnsi="Liberation Serif" w:cs="Liberation Serif"/>
          <w:sz w:val="18"/>
          <w:szCs w:val="18"/>
          <w:highlight w:val="white"/>
        </w:rPr>
        <w:t xml:space="preserve"> об этом потребителя в срок не позднее 5 рабочих дней с момента произошедших изменений.</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Уведомлять потребителя об утвержденных графиках аварийного ограничения режима потребления энергии (мощности) путем их размещения не позднее, чем за </w:t>
      </w:r>
      <w:r>
        <w:rPr>
          <w:rFonts w:ascii="Liberation Serif" w:hAnsi="Liberation Serif" w:cs="Liberation Serif"/>
          <w:sz w:val="18"/>
          <w:szCs w:val="18"/>
          <w:highlight w:val="white"/>
        </w:rPr>
        <w:t xml:space="preserve">15</w:t>
      </w:r>
      <w:r>
        <w:rPr>
          <w:rFonts w:ascii="Liberation Serif" w:hAnsi="Liberation Serif" w:cs="Liberation Serif"/>
          <w:sz w:val="18"/>
          <w:szCs w:val="18"/>
          <w:highlight w:val="white"/>
        </w:rPr>
        <w:t xml:space="preserve"> рабочих с даты их получения от сетевой организации, на официальном сайте поставщика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"http://www.saratovenergo.ru/"</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rPr>
        <w:t xml:space="preserve">www.saratovenergo.ru</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в сети «Интернет».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9"/>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Обеспечи</w:t>
      </w:r>
      <w:r>
        <w:rPr>
          <w:rFonts w:ascii="Liberation Serif" w:hAnsi="Liberation Serif" w:cs="Liberation Serif"/>
          <w:sz w:val="18"/>
          <w:szCs w:val="18"/>
          <w:highlight w:val="white"/>
        </w:rPr>
        <w:t xml:space="preserve">ва</w:t>
      </w:r>
      <w:r>
        <w:rPr>
          <w:rFonts w:ascii="Liberation Serif" w:hAnsi="Liberation Serif" w:cs="Liberation Serif"/>
          <w:sz w:val="18"/>
          <w:szCs w:val="18"/>
          <w:highlight w:val="white"/>
        </w:rPr>
        <w:t xml:space="preserve">ть осуществление действий, необходимых для реализации прав потребителя, предусмотренных условиями наст</w:t>
      </w:r>
      <w:r>
        <w:rPr>
          <w:rFonts w:ascii="Liberation Serif" w:hAnsi="Liberation Serif" w:cs="Liberation Serif"/>
          <w:sz w:val="18"/>
          <w:szCs w:val="18"/>
          <w:highlight w:val="white"/>
        </w:rPr>
        <w:t xml:space="preserve">оящего договора и требованиями Основных положений функционирования розничных рынков электрической энергии, утверждённых постановлением Правительства РФ от 04.05.2012 №442 (далее – Основные положения функционирования розничных рынков электрической энергии).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430" w:leader="none"/>
        </w:tabs>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2.2. Поставщик имеет право:</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43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2.2.1. В связи с наступлением обстоятельств, указанных в Правилах полного и (или) частичного ограничения режима потребления электрической энергии, утверждённых Постановлением Правительства РФ от 04.05.2012 №442</w:t>
      </w:r>
      <w:r>
        <w:rPr>
          <w:rFonts w:ascii="Liberation Serif" w:hAnsi="Liberation Serif" w:cs="Liberation Serif"/>
          <w:sz w:val="18"/>
          <w:szCs w:val="18"/>
          <w:highlight w:val="white"/>
        </w:rPr>
        <w:t xml:space="preserve"> (далее - Правила полного и (или) частичного ограничения режима потребления электрической энергии)</w:t>
      </w:r>
      <w:r>
        <w:rPr>
          <w:rFonts w:ascii="Liberation Serif" w:hAnsi="Liberation Serif" w:cs="Liberation Serif"/>
          <w:sz w:val="18"/>
          <w:szCs w:val="18"/>
          <w:highlight w:val="white"/>
        </w:rPr>
        <w:t xml:space="preserve">, инициировать в установленном порядке введение полного и (или) частичного ограничения режима потребления потребителем электрической энергии.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43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2.2.2. Поставщик вправе в одностороннем порядке отказат</w:t>
      </w:r>
      <w:r>
        <w:rPr>
          <w:rFonts w:ascii="Liberation Serif" w:hAnsi="Liberation Serif" w:cs="Liberation Serif"/>
          <w:sz w:val="18"/>
          <w:szCs w:val="18"/>
          <w:highlight w:val="white"/>
        </w:rPr>
        <w:t xml:space="preserve">ься от исполнения договора в случаях и порядке предусмотренным действующим законодательством РФ, уведомив об этом потребителя об этом за 10 рабочих дней до заявляемой им даты отказа от до</w:t>
      </w:r>
      <w:r>
        <w:rPr>
          <w:rFonts w:ascii="Liberation Serif" w:hAnsi="Liberation Serif" w:cs="Liberation Serif"/>
          <w:sz w:val="18"/>
          <w:szCs w:val="18"/>
          <w:highlight w:val="white"/>
        </w:rPr>
        <w:t xml:space="preserve">говора, способом, позволяющим подтвердить факт получения уведомления.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ind w:right="-1" w:firstLine="284"/>
        <w:jc w:val="both"/>
        <w:keepNext/>
        <w:widowControl w:val="off"/>
        <w:tabs>
          <w:tab w:val="left" w:pos="143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2.2.3. </w:t>
      </w:r>
      <w:r>
        <w:rPr>
          <w:sz w:val="18"/>
          <w:szCs w:val="18"/>
          <w:highlight w:val="white"/>
        </w:rPr>
        <w:t xml:space="preserve">Требовать от потребителя предоставления обеспечения исполнения обязательств по оплате электрической энергии (мощности), согласно условиям пункта 2.3.15 настоящего договора и действующего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keepNext/>
        <w:widowControl w:val="off"/>
        <w:tabs>
          <w:tab w:val="left" w:pos="993" w:leader="none"/>
          <w:tab w:val="left" w:pos="1276" w:leader="none"/>
        </w:tabs>
        <w:rPr>
          <w:rFonts w:ascii="Liberation Serif" w:hAnsi="Liberation Serif" w:cs="Liberation Serif"/>
          <w:sz w:val="18"/>
          <w:szCs w:val="18"/>
          <w:highlight w:val="white"/>
        </w:rPr>
      </w:pPr>
      <w:r>
        <w:rPr>
          <w:highlight w:val="white"/>
        </w:rPr>
      </w:r>
      <w:bookmarkStart w:id="0" w:name="YANDEX_98"/>
      <w:r>
        <w:rPr>
          <w:highlight w:val="white"/>
        </w:rPr>
      </w:r>
      <w:bookmarkEnd w:id="0"/>
      <w:r>
        <w:rPr>
          <w:rFonts w:ascii="Liberation Serif" w:hAnsi="Liberation Serif" w:cs="Liberation Serif"/>
          <w:b/>
          <w:color w:val="000000"/>
          <w:sz w:val="18"/>
          <w:szCs w:val="18"/>
          <w:highlight w:val="white"/>
        </w:rPr>
        <w:t xml:space="preserve">2.3. Потребитель обязуется: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keepNext/>
        <w:widowControl w:val="off"/>
        <w:tabs>
          <w:tab w:val="left" w:pos="993" w:leader="none"/>
          <w:tab w:val="left" w:pos="1276" w:leader="none"/>
        </w:tabs>
        <w:rPr>
          <w:rFonts w:ascii="Liberation Serif" w:hAnsi="Liberation Serif" w:cs="Liberation Serif"/>
          <w:sz w:val="18"/>
          <w:szCs w:val="18"/>
          <w:highlight w:val="white"/>
        </w:rPr>
      </w:pPr>
      <w:r>
        <w:rPr>
          <w:rFonts w:ascii="Liberation Serif" w:hAnsi="Liberation Serif" w:cs="Liberation Serif"/>
          <w:color w:val="000000"/>
          <w:sz w:val="18"/>
          <w:szCs w:val="18"/>
          <w:highlight w:val="white"/>
        </w:rPr>
        <w:t xml:space="preserve">2.3.1.</w:t>
      </w:r>
      <w:r>
        <w:rPr>
          <w:rFonts w:ascii="Liberation Serif" w:hAnsi="Liberation Serif" w:cs="Liberation Serif"/>
          <w:b/>
          <w:color w:val="000000"/>
          <w:sz w:val="18"/>
          <w:szCs w:val="18"/>
          <w:highlight w:val="white"/>
        </w:rPr>
        <w:t xml:space="preserve"> </w:t>
      </w:r>
      <w:r>
        <w:rPr>
          <w:rFonts w:ascii="Liberation Serif" w:hAnsi="Liberation Serif" w:cs="Liberation Serif"/>
          <w:color w:val="000000"/>
          <w:sz w:val="18"/>
          <w:szCs w:val="18"/>
          <w:highlight w:val="white"/>
        </w:rPr>
        <w:t xml:space="preserve">Своевременно п</w:t>
      </w:r>
      <w:r>
        <w:rPr>
          <w:rFonts w:ascii="Liberation Serif" w:hAnsi="Liberation Serif" w:cs="Liberation Serif"/>
          <w:sz w:val="18"/>
          <w:szCs w:val="18"/>
          <w:highlight w:val="white"/>
        </w:rPr>
        <w:t xml:space="preserve">роизводить оплату платёжных документов, выставленных поставщиком в сроки и порядке, установленные настоящим договором.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993" w:leader="none"/>
          <w:tab w:val="left" w:pos="1276" w:leader="none"/>
        </w:tabs>
        <w:rPr>
          <w:rFonts w:ascii="Liberation Serif" w:hAnsi="Liberation Serif" w:cs="Liberation Serif"/>
          <w:sz w:val="18"/>
          <w:szCs w:val="18"/>
          <w:highlight w:val="white"/>
        </w:rPr>
      </w:pPr>
      <w:r>
        <w:rPr>
          <w:rFonts w:ascii="Liberation Serif" w:hAnsi="Liberation Serif" w:cs="Liberation Serif"/>
          <w:color w:val="000000"/>
          <w:sz w:val="18"/>
          <w:szCs w:val="18"/>
          <w:highlight w:val="white"/>
        </w:rPr>
        <w:t xml:space="preserve">2.3.2. </w:t>
      </w:r>
      <w:r>
        <w:rPr>
          <w:rFonts w:ascii="Liberation Serif" w:hAnsi="Liberation Serif" w:cs="Liberation Serif"/>
          <w:sz w:val="18"/>
          <w:szCs w:val="18"/>
          <w:highlight w:val="white"/>
        </w:rPr>
        <w:t xml:space="preserve">Самостоятельно урегулировать с сетевой организацией, с предоставлением поставщику необходимой технической документации, вопросы взаимодействия в части: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0"/>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надлежащего оформления технологического присоединения (в том числе и опосредованно) энергопринимающих устройств потребителя в установленном порядке к объектам электросетевого хозяйства сетевой организации;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0"/>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информирования об аварийных ситуациях в своих электроустановках и сроках их ремонта;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0"/>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своего участия в реализации графиков аварийного ограничения режима потребления электрической энергии и использования противоаварийной автоматики;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0"/>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оперативно-технологического взаимодействия и эксплуатации принадлежащих потребителю энергопринимающих устройств, в соответствии с правилами технической эксплуатации, техники безопасности и оперативно-диспетчерского управления;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0"/>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соотношения потребления активной и реактивной энергии (мощности), определённого в соответствии с требованиями действующего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0" w:right="-1" w:firstLine="283"/>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е) </w:t>
      </w:r>
      <w:r>
        <w:rPr>
          <w:rFonts w:ascii="Liberation Serif" w:hAnsi="Liberation Serif" w:cs="Liberation Serif"/>
          <w:sz w:val="18"/>
          <w:szCs w:val="18"/>
          <w:highlight w:val="white"/>
        </w:rPr>
        <w:t xml:space="preserve">надлежащего оформления Акта технологической и (или) аварийной брони</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Если </w:t>
      </w:r>
      <w:r>
        <w:rPr>
          <w:rFonts w:ascii="Liberation Serif" w:hAnsi="Liberation Serif" w:cs="Liberation Serif"/>
          <w:sz w:val="18"/>
          <w:szCs w:val="18"/>
          <w:highlight w:val="white"/>
        </w:rPr>
        <w:t xml:space="preserve">Потребитель, ограничение режима потребления энергии (мощности) которого может </w:t>
      </w:r>
      <w:r>
        <w:rPr>
          <w:rFonts w:ascii="Liberation Serif" w:hAnsi="Liberation Serif" w:cs="Liberation Serif"/>
          <w:sz w:val="18"/>
          <w:szCs w:val="18"/>
          <w:highlight w:val="white"/>
        </w:rPr>
        <w:t xml:space="preserve">привести к экономическим, экологическим, социальным последствиям, а также Потребитель, энергопринимающие устройства которого отнесены к первой категории надежности, при отсутствии у него акта согласования технологической и (или) аварийной брони на дату под</w:t>
      </w:r>
      <w:r>
        <w:rPr>
          <w:rFonts w:ascii="Liberation Serif" w:hAnsi="Liberation Serif" w:cs="Liberation Serif"/>
          <w:sz w:val="18"/>
          <w:szCs w:val="18"/>
          <w:highlight w:val="white"/>
        </w:rPr>
        <w:t xml:space="preserve">ачи заявления о заключении договора энергоснабжения или при возникновении после заключения договора энергоснабжения оснований для изменения ранее составленного акта в порядке, определенном Правилами недискриминационного доступа к услугам по передаче энерги</w:t>
      </w:r>
      <w:r>
        <w:rPr>
          <w:rFonts w:ascii="Liberation Serif" w:hAnsi="Liberation Serif" w:cs="Liberation Serif"/>
          <w:sz w:val="18"/>
          <w:szCs w:val="18"/>
          <w:highlight w:val="white"/>
        </w:rPr>
        <w:t xml:space="preserve">и и оказания этих услуг,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такого акта не позднее 5 дней со дня согласования с сетевой организацией.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left" w:pos="28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Обеспечивать сохранность и целостность приборов учета и иного оборудования, используемых для обеспечения учета энергии (мощности), а также пломб и (или) знаков в</w:t>
      </w:r>
      <w:r>
        <w:rPr>
          <w:rFonts w:ascii="Liberation Serif" w:hAnsi="Liberation Serif" w:cs="Liberation Serif"/>
          <w:sz w:val="18"/>
          <w:szCs w:val="18"/>
          <w:highlight w:val="white"/>
        </w:rPr>
        <w:t xml:space="preserve">изуального контроля, установленных в границах балансовой принадлежности энергопринимающих устройств потребителя (в границах земельного участка, внутри помещения потребителя), по перечню средств и оборудования, согласно Приложению №3 к настоящему договору.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left" w:pos="28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Обеспечить допуск поставщика и (или) сетевой организации к необходимой технической документации и оборудованию потребителя, для контроля над соблюдением установленных режимов</w:t>
      </w:r>
      <w:r>
        <w:rPr>
          <w:rFonts w:ascii="Liberation Serif" w:hAnsi="Liberation Serif" w:cs="Liberation Serif"/>
          <w:sz w:val="18"/>
          <w:szCs w:val="18"/>
          <w:highlight w:val="white"/>
        </w:rPr>
        <w:t xml:space="preserve"> электропотребления, технического состояния, условий эксплуатации, проверки правильности работы и замены (установки) приборов учета, проведения измерений и снятию показаний приборов учета, в случаях и порядке установленных действующим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left" w:pos="28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если потребитель является лицом, ответственным за снятие показаний расчетных приборов учета, предоставлять поставщику показания расчетных приборов учета по установленной форме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"прил_10_1"</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7.1 к настоящему договору), а также данные о почасовых объемах потребления по каждому прибору учета (в случае выбора для осуществления расчетов соответствующей ценовой категории (предполагающей почасовой учет (почасовое планирование и учет))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"прил_10"</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7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использовании в расчётах стоимости электроэнергии </w:t>
      </w:r>
      <w:r>
        <w:rPr>
          <w:rFonts w:ascii="Liberation Serif" w:hAnsi="Liberation Serif" w:cs="Liberation Serif"/>
          <w:sz w:val="18"/>
          <w:szCs w:val="18"/>
          <w:highlight w:val="white"/>
        </w:rPr>
        <w:t xml:space="preserve">(мощности) </w:t>
      </w:r>
      <w:r>
        <w:rPr>
          <w:rFonts w:ascii="Liberation Serif" w:hAnsi="Liberation Serif" w:cs="Liberation Serif"/>
          <w:sz w:val="18"/>
          <w:szCs w:val="18"/>
          <w:highlight w:val="white"/>
        </w:rPr>
        <w:t xml:space="preserve">пятой и шестой ценовой категории Потребитель обязан сообщ</w:t>
      </w:r>
      <w:r>
        <w:rPr>
          <w:rFonts w:ascii="Liberation Serif" w:hAnsi="Liberation Serif" w:cs="Liberation Serif"/>
          <w:sz w:val="18"/>
          <w:szCs w:val="18"/>
          <w:highlight w:val="white"/>
        </w:rPr>
        <w:t xml:space="preserve">а</w:t>
      </w:r>
      <w:r>
        <w:rPr>
          <w:rFonts w:ascii="Liberation Serif" w:hAnsi="Liberation Serif" w:cs="Liberation Serif"/>
          <w:sz w:val="18"/>
          <w:szCs w:val="18"/>
          <w:highlight w:val="white"/>
        </w:rPr>
        <w:t xml:space="preserve">ть Поставщику детализацию планового объема потребления электрической энергии</w:t>
      </w:r>
      <w:r>
        <w:rPr>
          <w:rFonts w:ascii="Liberation Serif" w:hAnsi="Liberation Serif" w:cs="Liberation Serif"/>
          <w:sz w:val="18"/>
          <w:szCs w:val="18"/>
          <w:highlight w:val="white"/>
        </w:rPr>
        <w:t xml:space="preserve"> (мощности)</w:t>
      </w:r>
      <w:r>
        <w:rPr>
          <w:rFonts w:ascii="Liberation Serif" w:hAnsi="Liberation Serif" w:cs="Liberation Serif"/>
          <w:sz w:val="18"/>
          <w:szCs w:val="18"/>
          <w:highlight w:val="white"/>
        </w:rPr>
        <w:t xml:space="preserve"> по часам суток</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в сроки и порядке установленные действующим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Сведения о поч</w:t>
      </w:r>
      <w:r>
        <w:rPr>
          <w:rFonts w:ascii="Liberation Serif" w:hAnsi="Liberation Serif" w:cs="Liberation Serif"/>
          <w:sz w:val="18"/>
          <w:szCs w:val="18"/>
          <w:highlight w:val="white"/>
        </w:rPr>
        <w:t xml:space="preserve">асовых объемах потребления по каждому прибору учета, в случае выбора для осуществления расчетов ценовой категории, предполагающей почасовой учет (почасовое планирование и учет) по каждой точке поставки (энергоснабжаемому объекту) по приборам учета направля</w:t>
      </w:r>
      <w:r>
        <w:rPr>
          <w:rFonts w:ascii="Liberation Serif" w:hAnsi="Liberation Serif" w:cs="Liberation Serif"/>
          <w:sz w:val="18"/>
          <w:szCs w:val="18"/>
          <w:highlight w:val="white"/>
        </w:rPr>
        <w:t xml:space="preserve">ть</w:t>
      </w:r>
      <w:r>
        <w:rPr>
          <w:rFonts w:ascii="Liberation Serif" w:hAnsi="Liberation Serif" w:cs="Liberation Serif"/>
          <w:sz w:val="18"/>
          <w:szCs w:val="18"/>
          <w:highlight w:val="white"/>
        </w:rPr>
        <w:t xml:space="preserve"> в виде электронной таблице формата «</w:t>
      </w:r>
      <w:r>
        <w:rPr>
          <w:rFonts w:ascii="Liberation Serif" w:hAnsi="Liberation Serif" w:cs="Liberation Serif"/>
          <w:sz w:val="18"/>
          <w:szCs w:val="18"/>
          <w:highlight w:val="white"/>
          <w:lang w:val="en-US"/>
        </w:rPr>
        <w:t xml:space="preserve">EXCEL</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"прил_10"</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7 к настоящему договору), либо в формате </w:t>
      </w:r>
      <w:r>
        <w:rPr>
          <w:rFonts w:ascii="Liberation Serif" w:hAnsi="Liberation Serif" w:cs="Liberation Serif"/>
          <w:sz w:val="18"/>
          <w:szCs w:val="18"/>
          <w:highlight w:val="white"/>
          <w:lang w:val="en-US"/>
        </w:rPr>
        <w:t xml:space="preserve">XML</w:t>
      </w:r>
      <w:r>
        <w:rPr>
          <w:rFonts w:ascii="Liberation Serif" w:hAnsi="Liberation Serif" w:cs="Liberation Serif"/>
          <w:sz w:val="18"/>
          <w:szCs w:val="18"/>
          <w:highlight w:val="white"/>
        </w:rPr>
        <w:t xml:space="preserve"> «80020» на адрес электронной </w:t>
      </w:r>
      <w:bookmarkStart w:id="1" w:name="_Hlk145312736"/>
      <w:r>
        <w:rPr>
          <w:rFonts w:ascii="Liberation Serif" w:hAnsi="Liberation Serif" w:cs="Liberation Serif"/>
          <w:sz w:val="18"/>
          <w:szCs w:val="18"/>
          <w:highlight w:val="white"/>
        </w:rPr>
        <w:t xml:space="preserve">почты поставщика</w:t>
      </w:r>
      <w:bookmarkEnd w:id="1"/>
      <w:r>
        <w:rPr>
          <w:rFonts w:ascii="Liberation Serif" w:hAnsi="Liberation Serif" w:cs="Liberation Serif"/>
          <w:sz w:val="18"/>
          <w:szCs w:val="18"/>
          <w:highlight w:val="white"/>
        </w:rPr>
        <w:t xml:space="preserve">, указанный в п.11.1 Договора с обязательным указанием номера дог</w:t>
      </w:r>
      <w:r>
        <w:rPr>
          <w:rFonts w:ascii="Liberation Serif" w:hAnsi="Liberation Serif" w:cs="Liberation Serif"/>
          <w:sz w:val="18"/>
          <w:szCs w:val="18"/>
          <w:highlight w:val="white"/>
        </w:rPr>
        <w:t xml:space="preserve">овора в наименовании документа.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Также, предоставлять данные по каждому прибору учета, фиксирующему потребление электрической энергии в нежилых помещениях многоквартирных жилых домов или объектах, технологически присоединённым к сетям жилого дома – ежемесячно, н</w:t>
      </w:r>
      <w:r>
        <w:rPr>
          <w:rFonts w:ascii="Liberation Serif" w:hAnsi="Liberation Serif" w:cs="Liberation Serif"/>
          <w:sz w:val="18"/>
          <w:szCs w:val="18"/>
          <w:highlight w:val="white"/>
        </w:rPr>
        <w:t xml:space="preserve">е позднее 25-го числа расчетного (оплачиваемого) месяца, в отношении иных приборов учета до окончания 1-го дня месяца, следующего за расчетным периодом, на адрес электронной почты поставщика, через официальный сайт поставщика в разделе «Личный кабинет» ука</w:t>
      </w:r>
      <w:r>
        <w:rPr>
          <w:rFonts w:ascii="Liberation Serif" w:hAnsi="Liberation Serif" w:cs="Liberation Serif"/>
          <w:sz w:val="18"/>
          <w:szCs w:val="18"/>
          <w:highlight w:val="white"/>
        </w:rPr>
        <w:t xml:space="preserve">занные в п.11.1., в виде электронного документа, подписанного электронной подписью, или любым способом, позволяющим подтвердить факт и дату получения показаний поставщиком, также в письменной форме в виде оригинала «Акта снятия показаний приборов учета»,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"прил_10_1"</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7.1 к настоящему договору) в течение 3 рабочих дней.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присоединении приборов учёта потребителя и субабонентов потребителя к интеллектуальным системам учета электрической энергии (мощности) сетевой организации или поставщика объём фактического потребления электрическ</w:t>
      </w:r>
      <w:r>
        <w:rPr>
          <w:rFonts w:ascii="Liberation Serif" w:hAnsi="Liberation Serif" w:cs="Liberation Serif"/>
          <w:sz w:val="18"/>
          <w:szCs w:val="18"/>
          <w:highlight w:val="white"/>
        </w:rPr>
        <w:t xml:space="preserve">ой энергии (мощности) по данным присоединениям формируется на основании данных системы учёта полученных поставщиком самостоятельно, при условии отсутствия зафиксированных фактов неисправности приборов учёта и (или) наличия следов вмешательства в их работу.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Представлять в течении 7 рабочих дней после заключения Договора список лиц, имеющих право ведения оперативных переговоров, подписания ежемесячных актов снятия показаний расчетных приборов учета и иных актов. Список должен содержать должности и </w:t>
      </w:r>
      <w:r>
        <w:rPr>
          <w:rFonts w:ascii="Liberation Serif" w:hAnsi="Liberation Serif" w:cs="Liberation Serif"/>
          <w:sz w:val="18"/>
          <w:szCs w:val="18"/>
          <w:highlight w:val="white"/>
        </w:rPr>
        <w:t xml:space="preserve">ФИО </w:t>
      </w:r>
      <w:r>
        <w:rPr>
          <w:rFonts w:ascii="Liberation Serif" w:hAnsi="Liberation Serif" w:cs="Liberation Serif"/>
          <w:sz w:val="18"/>
          <w:szCs w:val="18"/>
          <w:highlight w:val="white"/>
        </w:rPr>
        <w:t xml:space="preserve">уполномоченных лиц, и их рабочие телефоны. Потребитель обязуется </w:t>
      </w:r>
      <w:r>
        <w:rPr>
          <w:rFonts w:ascii="Liberation Serif" w:hAnsi="Liberation Serif" w:cs="Liberation Serif"/>
          <w:sz w:val="18"/>
          <w:szCs w:val="18"/>
          <w:highlight w:val="white"/>
        </w:rPr>
        <w:t xml:space="preserve">в течении 2 рабочих дней</w:t>
      </w:r>
      <w:r>
        <w:rPr>
          <w:rFonts w:ascii="Liberation Serif" w:hAnsi="Liberation Serif" w:cs="Liberation Serif"/>
          <w:sz w:val="18"/>
          <w:szCs w:val="18"/>
          <w:highlight w:val="white"/>
        </w:rPr>
        <w:t xml:space="preserve"> извещать поставщика об измен</w:t>
      </w:r>
      <w:r>
        <w:rPr>
          <w:rFonts w:ascii="Liberation Serif" w:hAnsi="Liberation Serif" w:cs="Liberation Serif"/>
          <w:sz w:val="18"/>
          <w:szCs w:val="18"/>
          <w:highlight w:val="white"/>
        </w:rPr>
        <w:t xml:space="preserve">ении данных, указанных в настоящем пункте. </w:t>
      </w:r>
      <w:bookmarkStart w:id="2" w:name="п_2_3_8"/>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Потребитель, имеющий намерение в соответствии с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"п_2_4_3"</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 2.4.3</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или </w:t>
      </w:r>
      <w:bookmarkEnd w:id="2"/>
      <w:r>
        <w:rPr>
          <w:highlight w:val="white"/>
        </w:rPr>
      </w:r>
      <w:bookmarkStart w:id="3" w:name="п_2_4_5"/>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"п_2_4_5"</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 2.4.</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4 Договора в одностороннем порядке отказаться от исполнения Договора полностью или уменьшить объемы энергии (мощности), </w:t>
      </w:r>
      <w:r>
        <w:rPr>
          <w:rFonts w:ascii="Liberation Serif" w:hAnsi="Liberation Serif" w:cs="Liberation Serif"/>
          <w:sz w:val="18"/>
          <w:szCs w:val="18"/>
          <w:highlight w:val="white"/>
        </w:rPr>
        <w:t xml:space="preserve">приобретаемые по Договору, обязан передать поставщику письменное уведомление об этом не позднее, чем за 20 рабочих дней до заявляемой им даты расторжения или изменения Договора способом, позволяющим подтвердить факт и дату получения указанного уведомления.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нарушении Потребителем требования настоящего пункта об уведомлении поставщика в установленные сроки и (или) при нарушении им требования о выполнении условий, предусмотренных пунктами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"п_2_4_3"</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 2.4.3</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или 2.4.</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"п_2_4_5"</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4</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настоящего Договора, определенные настоящим Договором обязательства Потребителя и поставщика сохраняются в неизменном виде вплоть до момента надлежащего выполнения указанных требований.</w:t>
      </w:r>
      <w:bookmarkEnd w:id="3"/>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Обеспечи</w:t>
      </w:r>
      <w:r>
        <w:rPr>
          <w:rFonts w:ascii="Liberation Serif" w:hAnsi="Liberation Serif" w:cs="Liberation Serif"/>
          <w:sz w:val="18"/>
          <w:szCs w:val="18"/>
          <w:highlight w:val="white"/>
        </w:rPr>
        <w:t xml:space="preserve">ва</w:t>
      </w:r>
      <w:r>
        <w:rPr>
          <w:rFonts w:ascii="Liberation Serif" w:hAnsi="Liberation Serif" w:cs="Liberation Serif"/>
          <w:sz w:val="18"/>
          <w:szCs w:val="18"/>
          <w:highlight w:val="white"/>
        </w:rPr>
        <w:t xml:space="preserve">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w:t>
      </w:r>
      <w:r>
        <w:rPr>
          <w:rFonts w:ascii="Liberation Serif" w:hAnsi="Liberation Serif" w:cs="Liberation Serif"/>
          <w:sz w:val="18"/>
          <w:szCs w:val="18"/>
          <w:highlight w:val="white"/>
        </w:rPr>
        <w:t xml:space="preserve">ости, установленных в границах балансовой принадлежности потребителя в соответствии с Правилами технологического присоединения или Правилами недискриминационного доступа к услугам по передаче электрической энергии и оказания этих услуг. Потребитель обязан </w:t>
      </w:r>
      <w:r>
        <w:rPr>
          <w:rFonts w:ascii="Liberation Serif" w:hAnsi="Liberation Serif" w:cs="Liberation Serif"/>
          <w:sz w:val="18"/>
          <w:szCs w:val="18"/>
          <w:highlight w:val="white"/>
        </w:rPr>
        <w:t xml:space="preserve">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а также нести ответственность за несоблюдение указанной обязанности.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соответствующие требованиям, предъявляемым ГОСТ 32144-2013 по точки поставки, указанным в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"прил_4"</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Приложениях №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2 и №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"прил_7"</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5</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реорганизации, изменения форм собственности, смене собственника или иного законного владельца, точек поставки электрической энергии по данному договору, изменения пер</w:t>
      </w:r>
      <w:r>
        <w:rPr>
          <w:rFonts w:ascii="Liberation Serif" w:hAnsi="Liberation Serif" w:cs="Liberation Serif"/>
          <w:sz w:val="18"/>
          <w:szCs w:val="18"/>
          <w:highlight w:val="white"/>
        </w:rPr>
        <w:t xml:space="preserve">ечня субабонентов, банковских реквизитов, почтового и юридического адреса, адреса веб-сайта, электронной почты, контактных телефонов, факса, потребитель обязан уведомить об этом поставщика в срок не позднее 5 рабочих дней с момента произошедших изменений.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получении от поставщика уведомления о вводе режима ограничения электропотребления электрической энергии (мощности) потребитель обязан незамедлительно уведомить об этом субабонентов, указанных в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"прил_4"</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2 к настоящему договору,</w:t>
      </w:r>
      <w:r>
        <w:rPr>
          <w:rFonts w:ascii="Liberation Serif" w:hAnsi="Liberation Serif" w:cs="Liberation Serif"/>
          <w:sz w:val="18"/>
          <w:szCs w:val="18"/>
          <w:highlight w:val="white"/>
        </w:rPr>
        <w:t xml:space="preserve"> и предп</w:t>
      </w:r>
      <w:r>
        <w:rPr>
          <w:rFonts w:ascii="Liberation Serif" w:hAnsi="Liberation Serif" w:cs="Liberation Serif"/>
          <w:sz w:val="18"/>
          <w:szCs w:val="18"/>
          <w:highlight w:val="white"/>
        </w:rPr>
        <w:t xml:space="preserve">ринять все необходимые действия для обеспечения бесперебойной поставки им электрической энергии. Потребитель несёт ответственность за невыполнение таких действий, в том числе за убытки субабонентов, возникшие вследствие невыполнения таких действий.</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num" w:pos="0" w:leader="none"/>
          <w:tab w:val="clear" w:pos="142"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 письменному требованию поставщика вводить режим частичного или полного ограничения потребления электрической энергии (мощности) субабонентам, указанным в Приложении №2 к</w:t>
      </w:r>
      <w:r>
        <w:rPr>
          <w:rFonts w:ascii="Liberation Serif" w:hAnsi="Liberation Serif" w:cs="Liberation Serif"/>
          <w:sz w:val="18"/>
          <w:szCs w:val="18"/>
          <w:highlight w:val="white"/>
        </w:rPr>
        <w:t xml:space="preserve"> настоящему договору. В случае неисполнения потребителем требований данного пункта договора, объём потреблённой субабонентом электрической энергии (мощности), в отношении к</w:t>
      </w:r>
      <w:r>
        <w:rPr>
          <w:rFonts w:ascii="Liberation Serif" w:hAnsi="Liberation Serif" w:cs="Liberation Serif"/>
          <w:sz w:val="18"/>
          <w:szCs w:val="18"/>
          <w:highlight w:val="white"/>
        </w:rPr>
        <w:t xml:space="preserve">оторого вводится режим частичного или полного ограничения потребления электрической энергии, с момента планируемого ограничения и до момента его отмены поставщиком, будет учитываться как собственное потребление электрической энергии (мощности) потребителя.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num" w:pos="0" w:leader="none"/>
          <w:tab w:val="clear" w:pos="142"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обнаружении Потребителем, являющимся собственником энергопринимающих устрой</w:t>
      </w:r>
      <w:r>
        <w:rPr>
          <w:rFonts w:ascii="Liberation Serif" w:hAnsi="Liberation Serif" w:cs="Liberation Serif"/>
          <w:sz w:val="18"/>
          <w:szCs w:val="18"/>
          <w:highlight w:val="white"/>
        </w:rPr>
        <w:t xml:space="preserve">ств, в границах балансовой принадлежности которых установлен расчетный прибор учета, принадлежащий сетевой организации, поставщику или другому лицу, при выявлении фактов его неисправности или утраты обязан в течение одних суток сообщить об этом поставщику.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2"/>
        </w:numPr>
        <w:ind w:left="0" w:right="-1" w:firstLine="284"/>
        <w:jc w:val="both"/>
        <w:keepNext/>
        <w:widowControl w:val="off"/>
        <w:tabs>
          <w:tab w:val="num" w:pos="0" w:leader="none"/>
          <w:tab w:val="clear" w:pos="142"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Потребитель в соответствии с Федеральным законом «О персональных данных» от 27.07.2006г. № 152-ФЗ своей волей и в своем интересе вы</w:t>
      </w:r>
      <w:r>
        <w:rPr>
          <w:rFonts w:ascii="Liberation Serif" w:hAnsi="Liberation Serif" w:cs="Liberation Serif"/>
          <w:sz w:val="18"/>
          <w:szCs w:val="18"/>
          <w:highlight w:val="white"/>
        </w:rPr>
        <w:t xml:space="preserve">ражает Поставщику, зарегистрированному по адресу: Российская Федерация, Саратовская область, г. о. город Саратов, г. Саратов, ул. им. Мичурина И.В., д. 166/168 , своё согласие на обработку персональных данных, согласно Приложению № 6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numPr>
          <w:ilvl w:val="2"/>
          <w:numId w:val="2"/>
        </w:numPr>
        <w:ind w:left="0" w:right="-1" w:firstLine="284"/>
        <w:jc w:val="both"/>
        <w:keepNext/>
        <w:widowControl w:val="off"/>
        <w:tabs>
          <w:tab w:val="num" w:pos="0" w:leader="none"/>
          <w:tab w:val="clear" w:pos="142"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r>
      <w:r>
        <w:rPr>
          <w:sz w:val="18"/>
          <w:szCs w:val="18"/>
          <w:highlight w:val="white"/>
        </w:rPr>
        <w:t xml:space="preserve">Предоставить поставщику обеспечение исполнения обязательств по оплате электрической энергии (мощности), поставляемой по Договору, если ограничение режима потребления электрической энергии (мощности) Потребителя  может привести к экономическим, экологиче</w:t>
      </w:r>
      <w:r>
        <w:rPr>
          <w:sz w:val="18"/>
          <w:szCs w:val="18"/>
          <w:highlight w:val="white"/>
        </w:rPr>
        <w:t xml:space="preserve">ским или социальным последствиям, не исполнил или ненадлежащим образом исполнил обязательства по оплате электрической энергии (мощности) поставщику, что привело к образованию задолженности по Договору в размере, установленном действующим законодательством.</w:t>
      </w:r>
      <w:r>
        <w:rPr>
          <w:highlight w:val="white"/>
        </w:rPr>
      </w:r>
      <w:r>
        <w:rPr>
          <w:rFonts w:ascii="Liberation Serif" w:hAnsi="Liberation Serif" w:cs="Liberation Serif"/>
          <w:sz w:val="18"/>
          <w:szCs w:val="18"/>
          <w:highlight w:val="white"/>
        </w:rPr>
      </w:r>
    </w:p>
    <w:p>
      <w:pPr>
        <w:ind w:left="0" w:right="-1" w:firstLine="283"/>
        <w:jc w:val="both"/>
        <w:keepNext/>
        <w:widowControl w:val="off"/>
        <w:tabs>
          <w:tab w:val="num" w:pos="0" w:leader="none"/>
          <w:tab w:val="clear" w:pos="142" w:leader="none"/>
        </w:tabs>
        <w:rPr>
          <w:rFonts w:ascii="Liberation Serif" w:hAnsi="Liberation Serif" w:cs="Liberation Serif"/>
          <w:sz w:val="18"/>
          <w:szCs w:val="18"/>
          <w:highlight w:val="white"/>
        </w:rPr>
      </w:pPr>
      <w:r>
        <w:rPr>
          <w:sz w:val="18"/>
          <w:szCs w:val="18"/>
          <w:highlight w:val="white"/>
        </w:rPr>
        <w:t xml:space="preserve">Срок, в течении котор</w:t>
      </w:r>
      <w:r>
        <w:rPr>
          <w:sz w:val="18"/>
          <w:szCs w:val="18"/>
          <w:highlight w:val="white"/>
        </w:rPr>
        <w:t xml:space="preserve">ого необходимо предоставить обеспечение исполнения обязательств по оплате электрической энергии (мощности), определяется поставщиком, при этом дата окончания указанного срока не может наступить ранее чем через 60 дней со дня получения потребителем уведомле</w:t>
      </w:r>
      <w:r>
        <w:rPr>
          <w:sz w:val="18"/>
          <w:szCs w:val="18"/>
          <w:highlight w:val="white"/>
        </w:rPr>
        <w:t xml:space="preserve">ния поставщика о предоставлении обеспечение исполнения обязательств по оплате электрической энергии (мощности). Обеспечение исполнения обязательств по оплате электрической энергии (мощности) предоставляется потребителем в виде выдаваемой банком независимой</w:t>
      </w:r>
      <w:r>
        <w:rPr>
          <w:sz w:val="18"/>
          <w:szCs w:val="18"/>
          <w:highlight w:val="white"/>
        </w:rPr>
        <w:t xml:space="preserve"> гарантии, соответствующей требованиям законодательства РФ.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 электрической энергии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0" w:right="-1" w:firstLine="283"/>
        <w:jc w:val="both"/>
        <w:keepNext/>
        <w:widowControl w:val="off"/>
        <w:rPr>
          <w:highlight w:val="white"/>
        </w:rPr>
      </w:pPr>
      <w:r>
        <w:rPr>
          <w:rFonts w:ascii="Liberation Serif" w:hAnsi="Liberation Serif" w:cs="Liberation Serif"/>
          <w:sz w:val="18"/>
          <w:szCs w:val="18"/>
          <w:highlight w:val="white"/>
        </w:rPr>
        <w:t xml:space="preserve">2.3.16. </w:t>
      </w:r>
      <w:r>
        <w:rPr>
          <w:sz w:val="18"/>
          <w:szCs w:val="18"/>
          <w:highlight w:val="white"/>
        </w:rPr>
        <w:t xml:space="preserve">Потребитель обеспечивает формирование и присвоение настоящему договору кода идентификатора государственного контракта, в случаях и порядке предусмотренных требованиями действующего законодательства РФ.</w:t>
      </w:r>
      <w:r>
        <w:rPr>
          <w:highlight w:val="white"/>
        </w:rPr>
      </w:r>
      <w:r>
        <w:rPr>
          <w:highlight w:val="white"/>
        </w:rPr>
      </w:r>
    </w:p>
    <w:p>
      <w:pPr>
        <w:pStyle w:val="929"/>
        <w:ind w:left="0" w:right="-1" w:firstLine="283"/>
        <w:jc w:val="both"/>
        <w:keepNext/>
        <w:widowControl w:val="off"/>
        <w:rPr>
          <w:highlight w:val="white"/>
        </w:rPr>
      </w:pPr>
      <w:r>
        <w:rPr>
          <w:sz w:val="18"/>
          <w:szCs w:val="18"/>
          <w:highlight w:val="white"/>
        </w:rPr>
        <w:t xml:space="preserve">2.3.17. До момента заключения настоящег</w:t>
      </w:r>
      <w:r>
        <w:rPr>
          <w:sz w:val="18"/>
          <w:szCs w:val="18"/>
          <w:highlight w:val="white"/>
        </w:rPr>
        <w:t xml:space="preserve">о договора представить в адрес поставщика сведения о величине установленных главным распорядителем бюджетных средств лимитов бюджетных обязательств на оплату электрической энергии и мощности в натуральном (кВтч) и стоимостном выражении (руб.) с помесячной </w:t>
      </w:r>
      <w:r>
        <w:rPr>
          <w:sz w:val="18"/>
          <w:szCs w:val="18"/>
          <w:highlight w:val="white"/>
        </w:rPr>
        <w:t xml:space="preserve">разбивкой, а также ориентировочную величину внебюджетных средств. При наличии финансирования на оплату потребляемой электрической из внебюджетных источников по внебюджетной сфере деятельности обеспечить раздельный учёт потребления электрической энергии (мо</w:t>
      </w:r>
      <w:r>
        <w:rPr>
          <w:sz w:val="18"/>
          <w:szCs w:val="18"/>
          <w:highlight w:val="white"/>
        </w:rPr>
        <w:t xml:space="preserve">щности) по бюджетной и внебюджетной сферам деятельности. На основании установленных главным распорядителем бюджетных средств лимитов бюджетных обязательств, а также ориентировочных величин внебюджетных средств на оплату электрической энергии и мощности сфо</w:t>
      </w:r>
      <w:r>
        <w:rPr>
          <w:sz w:val="18"/>
          <w:szCs w:val="18"/>
          <w:highlight w:val="white"/>
        </w:rPr>
        <w:t xml:space="preserve">рмировать и предоставлять поставщику подписанную уполномоченным лицом и скреплённую печатью потребителя письменную заявку с детализацией планируемого объёма потребления электрической энергии и заявленной мощности по точкам поставки, с помесячной разбивкой.</w:t>
      </w:r>
      <w:r>
        <w:rPr>
          <w:highlight w:val="white"/>
        </w:rPr>
      </w:r>
      <w:r>
        <w:rPr>
          <w:highlight w:val="white"/>
        </w:rPr>
      </w:r>
    </w:p>
    <w:p>
      <w:pPr>
        <w:ind w:left="0" w:right="-1" w:firstLine="283"/>
        <w:jc w:val="both"/>
        <w:keepNext/>
        <w:widowControl w:val="off"/>
        <w:tabs>
          <w:tab w:val="num" w:pos="0" w:leader="none"/>
          <w:tab w:val="clear" w:pos="142" w:leader="none"/>
        </w:tabs>
        <w:rPr>
          <w:rFonts w:ascii="Liberation Serif" w:hAnsi="Liberation Serif" w:cs="Liberation Serif"/>
          <w:sz w:val="18"/>
          <w:szCs w:val="18"/>
          <w:highlight w:val="white"/>
        </w:rPr>
      </w:pPr>
      <w:r>
        <w:rPr>
          <w:sz w:val="18"/>
          <w:szCs w:val="18"/>
          <w:highlight w:val="white"/>
        </w:rPr>
        <w:t xml:space="preserve">При дефиците лимитов бюджетных обязательств обратиться к главному распорядителю бюджетных средств и принять все меры для увеличения лимитов бюджетных обязательств, о чём письменно уведомить поставщика.</w:t>
      </w:r>
      <w:r>
        <w:rPr>
          <w:rFonts w:ascii="Liberation Serif" w:hAnsi="Liberation Serif" w:cs="Liberation Serif"/>
          <w:sz w:val="18"/>
          <w:szCs w:val="18"/>
          <w:highlight w:val="white"/>
        </w:rPr>
      </w:r>
      <w:r>
        <w:rPr>
          <w:highlight w:val="white"/>
        </w:rPr>
      </w:r>
    </w:p>
    <w:p>
      <w:pPr>
        <w:pStyle w:val="929"/>
        <w:ind w:left="284" w:right="-1"/>
        <w:jc w:val="both"/>
        <w:keepNext/>
        <w:widowControl w:val="off"/>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2.4. Потребитель имеет право:</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4"/>
        </w:numPr>
        <w:ind w:left="0" w:right="-1" w:firstLine="284"/>
        <w:jc w:val="both"/>
        <w:keepNext/>
        <w:widowControl w:val="off"/>
        <w:rPr>
          <w:rFonts w:ascii="Liberation Serif" w:hAnsi="Liberation Serif" w:cs="Liberation Serif"/>
          <w:sz w:val="18"/>
          <w:szCs w:val="18"/>
          <w:highlight w:val="white"/>
        </w:rPr>
      </w:pPr>
      <w:r>
        <w:rPr>
          <w:highlight w:val="white"/>
        </w:rPr>
      </w:r>
      <w:bookmarkStart w:id="4" w:name="п_2_4_1"/>
      <w:r>
        <w:rPr>
          <w:rFonts w:ascii="Liberation Serif" w:hAnsi="Liberation Serif" w:cs="Liberation Serif"/>
          <w:sz w:val="18"/>
          <w:szCs w:val="18"/>
          <w:highlight w:val="white"/>
        </w:rPr>
        <w:t xml:space="preserve">Выбрать в случаях и порядке, определенных </w:t>
      </w:r>
      <w:r>
        <w:rPr>
          <w:rFonts w:ascii="Liberation Serif" w:hAnsi="Liberation Serif" w:cs="Liberation Serif"/>
          <w:sz w:val="18"/>
          <w:szCs w:val="18"/>
          <w:highlight w:val="white"/>
        </w:rPr>
        <w:t xml:space="preserve">Основны</w:t>
      </w:r>
      <w:r>
        <w:rPr>
          <w:rFonts w:ascii="Liberation Serif" w:hAnsi="Liberation Serif" w:cs="Liberation Serif"/>
          <w:sz w:val="18"/>
          <w:szCs w:val="18"/>
          <w:highlight w:val="white"/>
        </w:rPr>
        <w:t xml:space="preserve">ми</w:t>
      </w:r>
      <w:r>
        <w:rPr>
          <w:rFonts w:ascii="Liberation Serif" w:hAnsi="Liberation Serif" w:cs="Liberation Serif"/>
          <w:sz w:val="18"/>
          <w:szCs w:val="18"/>
          <w:highlight w:val="white"/>
        </w:rPr>
        <w:t xml:space="preserve"> положения</w:t>
      </w:r>
      <w:r>
        <w:rPr>
          <w:rFonts w:ascii="Liberation Serif" w:hAnsi="Liberation Serif" w:cs="Liberation Serif"/>
          <w:sz w:val="18"/>
          <w:szCs w:val="18"/>
          <w:highlight w:val="white"/>
        </w:rPr>
        <w:t xml:space="preserve">ми</w:t>
      </w:r>
      <w:r>
        <w:rPr>
          <w:rFonts w:ascii="Liberation Serif" w:hAnsi="Liberation Serif" w:cs="Liberation Serif"/>
          <w:sz w:val="18"/>
          <w:szCs w:val="18"/>
          <w:highlight w:val="white"/>
        </w:rPr>
        <w:t xml:space="preserve"> функционирования розничных рынков электрической энергии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ценовую категорию для производства расчётов за потребленную электрическую энергию (мощность) по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4"/>
        </w:numPr>
        <w:ind w:left="0" w:firstLine="284"/>
        <w:jc w:val="both"/>
        <w:keepNext/>
        <w:widowControl w:val="off"/>
        <w:rPr>
          <w:rFonts w:ascii="Liberation Serif" w:hAnsi="Liberation Serif" w:cs="Liberation Serif"/>
          <w:sz w:val="18"/>
          <w:szCs w:val="18"/>
          <w:highlight w:val="white"/>
        </w:rPr>
      </w:pPr>
      <w:r>
        <w:rPr>
          <w:highlight w:val="white"/>
        </w:rPr>
      </w:r>
      <w:bookmarkEnd w:id="4"/>
      <w:r>
        <w:rPr>
          <w:rFonts w:ascii="Liberation Serif" w:hAnsi="Liberation Serif" w:cs="Liberation Serif"/>
          <w:sz w:val="18"/>
          <w:szCs w:val="18"/>
          <w:highlight w:val="white"/>
        </w:rPr>
        <w:t xml:space="preserve">Заявлять поставщику об ошибках, обнаруженных в расчётном документе. Подача заявления об ошибке в расчётном документе не освобождает потребителя от обязанности принять и оплатить в установленный срок расчётный документ в неоспариваемой части.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4"/>
        </w:numPr>
        <w:ind w:left="0"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одностороннем порядке отказаться от исполнения Договора полностью</w:t>
      </w:r>
      <w:r>
        <w:rPr>
          <w:rFonts w:ascii="Liberation Serif" w:hAnsi="Liberation Serif" w:cs="Liberation Serif"/>
          <w:sz w:val="18"/>
          <w:szCs w:val="18"/>
          <w:highlight w:val="white"/>
        </w:rPr>
        <w:t xml:space="preserve"> при</w:t>
      </w:r>
      <w:r>
        <w:rPr>
          <w:rFonts w:ascii="Liberation Serif" w:hAnsi="Liberation Serif" w:cs="Liberation Serif"/>
          <w:sz w:val="18"/>
          <w:szCs w:val="18"/>
          <w:highlight w:val="white"/>
        </w:rPr>
        <w:t xml:space="preserve"> соблюдени</w:t>
      </w:r>
      <w:r>
        <w:rPr>
          <w:rFonts w:ascii="Liberation Serif" w:hAnsi="Liberation Serif" w:cs="Liberation Serif"/>
          <w:sz w:val="18"/>
          <w:szCs w:val="18"/>
          <w:highlight w:val="white"/>
        </w:rPr>
        <w:t xml:space="preserve">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условий</w:t>
      </w:r>
      <w:r>
        <w:rPr>
          <w:rFonts w:ascii="Liberation Serif" w:hAnsi="Liberation Serif" w:cs="Liberation Serif"/>
          <w:sz w:val="18"/>
          <w:szCs w:val="18"/>
          <w:highlight w:val="white"/>
        </w:rPr>
        <w:t xml:space="preserve">, предусмотренн</w:t>
      </w:r>
      <w:r>
        <w:rPr>
          <w:rFonts w:ascii="Liberation Serif" w:hAnsi="Liberation Serif" w:cs="Liberation Serif"/>
          <w:sz w:val="18"/>
          <w:szCs w:val="18"/>
          <w:highlight w:val="white"/>
        </w:rPr>
        <w:t xml:space="preserve">ых</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п.2.3.7.</w:t>
      </w:r>
      <w:r>
        <w:rPr>
          <w:rFonts w:ascii="Liberation Serif" w:hAnsi="Liberation Serif" w:cs="Liberation Serif"/>
          <w:sz w:val="18"/>
          <w:szCs w:val="18"/>
          <w:highlight w:val="white"/>
        </w:rPr>
        <w:t xml:space="preserve"> Договора,</w:t>
      </w:r>
      <w:r>
        <w:rPr>
          <w:rFonts w:ascii="Liberation Serif" w:hAnsi="Liberation Serif" w:cs="Liberation Serif"/>
          <w:sz w:val="18"/>
          <w:szCs w:val="18"/>
          <w:highlight w:val="white"/>
        </w:rPr>
        <w:t xml:space="preserve"> а также</w:t>
      </w:r>
      <w:r>
        <w:rPr>
          <w:rFonts w:ascii="Liberation Serif" w:hAnsi="Liberation Serif" w:cs="Liberation Serif"/>
          <w:sz w:val="18"/>
          <w:szCs w:val="18"/>
          <w:highlight w:val="white"/>
        </w:rPr>
        <w:t xml:space="preserve"> пр</w:t>
      </w:r>
      <w:r>
        <w:rPr>
          <w:rFonts w:ascii="Liberation Serif" w:hAnsi="Liberation Serif" w:cs="Liberation Serif"/>
          <w:sz w:val="18"/>
          <w:szCs w:val="18"/>
          <w:highlight w:val="white"/>
        </w:rPr>
        <w:t xml:space="preserve">и условии оплаты поставщику не позднее, чем за 10 рабочих дней до заявляемой Потребителем даты расторжения Договора стоимости потребленной энергии (мощности), что должно быть подтверждено оплатой счета, выставляемого поставщиком в порядке, предусмотренном </w:t>
      </w:r>
      <w:r>
        <w:rPr>
          <w:rFonts w:ascii="Liberation Serif" w:hAnsi="Liberation Serif" w:cs="Liberation Serif"/>
          <w:sz w:val="18"/>
          <w:szCs w:val="18"/>
          <w:highlight w:val="white"/>
        </w:rPr>
        <w:t xml:space="preserve">Основными положениями функционирования розничных рынков электрической энергии</w:t>
      </w:r>
      <w:r>
        <w:rPr>
          <w:rFonts w:ascii="Liberation Serif" w:hAnsi="Liberation Serif" w:cs="Liberation Serif"/>
          <w:sz w:val="18"/>
          <w:szCs w:val="18"/>
          <w:highlight w:val="white"/>
        </w:rPr>
        <w:t xml:space="preserve">.</w:t>
      </w:r>
      <w:bookmarkStart w:id="5" w:name="п_2_4_3"/>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4"/>
        </w:numPr>
        <w:ind w:left="0"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одностороннем порядке уменьшить объемы энергии (м</w:t>
      </w:r>
      <w:r>
        <w:rPr>
          <w:rFonts w:ascii="Liberation Serif" w:hAnsi="Liberation Serif" w:cs="Liberation Serif"/>
          <w:sz w:val="18"/>
          <w:szCs w:val="18"/>
          <w:highlight w:val="white"/>
        </w:rPr>
        <w:t xml:space="preserve">ощности), приобретаемые у поставщика, путем приобретения части объемов энергии (мощности) по договору, обеспечивающему продажу энергии (мощности), заключенному с производителем электрической энергии (мощности) на розничном рынке в порядке, предусмотренном </w:t>
      </w:r>
      <w:r>
        <w:rPr>
          <w:rFonts w:ascii="Liberation Serif" w:hAnsi="Liberation Serif" w:cs="Liberation Serif"/>
          <w:sz w:val="18"/>
          <w:szCs w:val="18"/>
          <w:highlight w:val="white"/>
        </w:rPr>
        <w:t xml:space="preserve">Основными положениями функционирования розничных рынков электрической энергии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и </w:t>
      </w:r>
      <w:r>
        <w:rPr>
          <w:rFonts w:ascii="Liberation Serif" w:hAnsi="Liberation Serif" w:cs="Liberation Serif"/>
          <w:sz w:val="18"/>
          <w:szCs w:val="18"/>
          <w:highlight w:val="white"/>
        </w:rPr>
        <w:t xml:space="preserve">п.2.3.7.</w:t>
      </w:r>
      <w:r>
        <w:rPr>
          <w:rFonts w:ascii="Liberation Serif" w:hAnsi="Liberation Serif" w:cs="Liberation Serif"/>
          <w:sz w:val="18"/>
          <w:szCs w:val="18"/>
          <w:highlight w:val="white"/>
        </w:rPr>
        <w:t xml:space="preserve"> Договора.</w:t>
      </w:r>
      <w:bookmarkEnd w:id="5"/>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4"/>
        </w:numPr>
        <w:ind w:left="0"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 даты утраты поставщиком его статуса перейти на обслуживание к организации, которой присвоен статус гарантирующего поставщика</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к энергосбытовой (энергоснабжающей) организации или производителю энергии (мощности) на розничном рынке.</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2.4.6. </w:t>
      </w:r>
      <w:r>
        <w:rPr>
          <w:rFonts w:ascii="Liberation Serif" w:hAnsi="Liberation Serif" w:cs="Liberation Serif"/>
          <w:sz w:val="18"/>
          <w:szCs w:val="18"/>
          <w:highlight w:val="white"/>
        </w:rPr>
        <w:t xml:space="preserve">Стороны имеют иные права и обязанности, а также несут иную ответственность, предусмотренные Договором и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center"/>
        <w:keepNext/>
        <w:widowControl w:val="off"/>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3.  Учет потребления электрической энергии (мощности).</w:t>
      </w:r>
      <w:bookmarkStart w:id="6" w:name="_Ref172880105"/>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3.1. Определение объема потребления (производства) электрической энергии (мощности), а также оказанных услуг по передаче электрической энергии осуществляется на основании: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а)</w:t>
      </w:r>
      <w:r>
        <w:rPr>
          <w:rFonts w:ascii="Liberation Serif" w:hAnsi="Liberation Serif" w:cs="Liberation Serif"/>
          <w:sz w:val="18"/>
          <w:szCs w:val="18"/>
          <w:highlight w:val="white"/>
        </w:rPr>
        <w:t xml:space="preserve"> показаний приборов учета, в том числе включенных в состав измерительных комплексов, систем учета и приб</w:t>
      </w:r>
      <w:r>
        <w:rPr>
          <w:rFonts w:ascii="Liberation Serif" w:hAnsi="Liberation Serif" w:cs="Liberation Serif"/>
          <w:sz w:val="18"/>
          <w:szCs w:val="18"/>
          <w:highlight w:val="white"/>
        </w:rPr>
        <w:t xml:space="preserve">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 находящихся по адресам, указанным в Приложении № 3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б)</w:t>
      </w:r>
      <w:r>
        <w:rPr>
          <w:rFonts w:ascii="Liberation Serif" w:hAnsi="Liberation Serif" w:cs="Liberation Serif"/>
          <w:sz w:val="18"/>
          <w:szCs w:val="18"/>
          <w:highlight w:val="white"/>
        </w:rPr>
        <w:t xml:space="preserve"> при отсутствии актуальных пок</w:t>
      </w:r>
      <w:r>
        <w:rPr>
          <w:rFonts w:ascii="Liberation Serif" w:hAnsi="Liberation Serif" w:cs="Liberation Serif"/>
          <w:sz w:val="18"/>
          <w:szCs w:val="18"/>
          <w:highlight w:val="white"/>
        </w:rPr>
        <w:t xml:space="preserve">азаний или непригодности к расчетам приборов учета,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предусмотренных действующим законодательством Российской Федерации.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Св</w:t>
      </w:r>
      <w:r>
        <w:rPr>
          <w:rFonts w:ascii="Liberation Serif" w:hAnsi="Liberation Serif" w:cs="Liberation Serif"/>
          <w:sz w:val="18"/>
          <w:szCs w:val="18"/>
          <w:highlight w:val="white"/>
        </w:rPr>
        <w:t xml:space="preserve">едения об объёмах потребления электрической энергии (мощности) за расчётный период формируются с учётом ценовой категории, используемой в расчётах в соответствии с требованиями п.2.3.5. и п.2.4.1. </w:t>
      </w:r>
      <w:r>
        <w:rPr>
          <w:rFonts w:ascii="Liberation Serif" w:hAnsi="Liberation Serif" w:cs="Liberation Serif"/>
          <w:sz w:val="18"/>
          <w:szCs w:val="18"/>
          <w:highlight w:val="white"/>
        </w:rPr>
        <w:t xml:space="preserve">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3.</w:t>
      </w:r>
      <w:r>
        <w:rPr>
          <w:rFonts w:ascii="Liberation Serif" w:hAnsi="Liberation Serif" w:cs="Liberation Serif"/>
          <w:sz w:val="18"/>
          <w:szCs w:val="18"/>
          <w:highlight w:val="white"/>
        </w:rPr>
        <w:t xml:space="preserve">2</w:t>
      </w:r>
      <w:r>
        <w:rPr>
          <w:rFonts w:ascii="Liberation Serif" w:hAnsi="Liberation Serif" w:cs="Liberation Serif"/>
          <w:sz w:val="18"/>
          <w:szCs w:val="18"/>
          <w:highlight w:val="white"/>
        </w:rPr>
        <w:t xml:space="preserve">. Сетев</w:t>
      </w:r>
      <w:r>
        <w:rPr>
          <w:rFonts w:ascii="Liberation Serif" w:hAnsi="Liberation Serif" w:cs="Liberation Serif"/>
          <w:sz w:val="18"/>
          <w:szCs w:val="18"/>
          <w:highlight w:val="white"/>
        </w:rPr>
        <w:t xml:space="preserve">ая организация обеспечивает коммерческий учет электрической энергии (мощности) в том числе замену, допуск в эксплуатацию приборов учета и (или) иного оборудования, а также нематериальных активов, которые необходимы для обеспечения коммерческого учета элект</w:t>
      </w:r>
      <w:r>
        <w:rPr>
          <w:rFonts w:ascii="Liberation Serif" w:hAnsi="Liberation Serif" w:cs="Liberation Serif"/>
          <w:sz w:val="18"/>
          <w:szCs w:val="18"/>
          <w:highlight w:val="white"/>
        </w:rPr>
        <w:t xml:space="preserve">рической энергии (мощности), и последующую их эксплуатацию, в том числе посредством интеллектуальных систем учета электрической энергии (мощности) в отношении непосредственно или опосредованно присоединенных к принадлежащим им на праве собственности или ин</w:t>
      </w:r>
      <w:r>
        <w:rPr>
          <w:rFonts w:ascii="Liberation Serif" w:hAnsi="Liberation Serif" w:cs="Liberation Serif"/>
          <w:sz w:val="18"/>
          <w:szCs w:val="18"/>
          <w:highlight w:val="white"/>
        </w:rPr>
        <w:t xml:space="preserve">ом законном основании объектам электросетевого хозяйства, энергопринимающих устройств потребителей электрической энергии (мощности), за исключением случаев, когда соответствующие обязанности возложены законодательством РФ об электроэнергетике на иное лицо.</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Тех</w:t>
      </w:r>
      <w:r>
        <w:rPr>
          <w:rFonts w:ascii="Liberation Serif" w:hAnsi="Liberation Serif" w:cs="Liberation Serif"/>
          <w:sz w:val="18"/>
          <w:szCs w:val="18"/>
          <w:highlight w:val="white"/>
        </w:rPr>
        <w:t xml:space="preserve">нические данные приборов учета (измерительных комплексов), их балансовая принадлежность, а также сведения о юридическом(их) лице(ах), ответственном(ых) в соответствии с законодательством РФ об электроэнергетике за эксплуатацию приборов учета, содержатся в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"прил_5"</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3 к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Се</w:t>
      </w:r>
      <w:r>
        <w:rPr>
          <w:rFonts w:ascii="Liberation Serif" w:hAnsi="Liberation Serif" w:cs="Liberation Serif"/>
          <w:sz w:val="18"/>
          <w:szCs w:val="18"/>
          <w:highlight w:val="white"/>
        </w:rPr>
        <w:t xml:space="preserve">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несет ответственность, предусмотренную действующим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3.</w:t>
      </w:r>
      <w:r>
        <w:rPr>
          <w:rFonts w:ascii="Liberation Serif" w:hAnsi="Liberation Serif" w:cs="Liberation Serif"/>
          <w:sz w:val="18"/>
          <w:szCs w:val="18"/>
          <w:highlight w:val="white"/>
        </w:rPr>
        <w:t xml:space="preserve">3</w:t>
      </w:r>
      <w:r>
        <w:rPr>
          <w:rFonts w:ascii="Liberation Serif" w:hAnsi="Liberation Serif" w:cs="Liberation Serif"/>
          <w:sz w:val="18"/>
          <w:szCs w:val="18"/>
          <w:highlight w:val="white"/>
        </w:rPr>
        <w:t xml:space="preserve">. Собственники приборов учета и (или) иного оборудования, используемых для</w:t>
      </w:r>
      <w:r>
        <w:rPr>
          <w:rFonts w:ascii="Liberation Serif" w:hAnsi="Liberation Serif" w:cs="Liberation Serif"/>
          <w:sz w:val="18"/>
          <w:szCs w:val="18"/>
          <w:highlight w:val="white"/>
        </w:rPr>
        <w:t xml:space="preserve"> обеспечения коммерческого учета электрической энергии (мощности), а также собственники (владельцы) и (или) пользователи объектов, на которых установлены такие приборы учета и (или) иное оборудование, не вправе по своему усмотрению демонтировать приборы уч</w:t>
      </w:r>
      <w:r>
        <w:rPr>
          <w:rFonts w:ascii="Liberation Serif" w:hAnsi="Liberation Serif" w:cs="Liberation Serif"/>
          <w:sz w:val="18"/>
          <w:szCs w:val="18"/>
          <w:highlight w:val="white"/>
        </w:rPr>
        <w:t xml:space="preserve">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w:t>
      </w:r>
      <w:r>
        <w:rPr>
          <w:rFonts w:ascii="Liberation Serif" w:hAnsi="Liberation Serif" w:cs="Liberation Serif"/>
          <w:sz w:val="18"/>
          <w:szCs w:val="18"/>
          <w:highlight w:val="white"/>
        </w:rPr>
        <w:t xml:space="preserve">ния контроля коммерческого 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Обязанность по обеспечению сохранности и целостности прибора учета и</w:t>
      </w:r>
      <w:r>
        <w:rPr>
          <w:rFonts w:ascii="Liberation Serif" w:hAnsi="Liberation Serif" w:cs="Liberation Serif"/>
          <w:sz w:val="18"/>
          <w:szCs w:val="18"/>
          <w:highlight w:val="white"/>
        </w:rPr>
        <w:t xml:space="preserve">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возлагается на собственника (владельца) энергопринимающих устройств, объектов по производству эл</w:t>
      </w:r>
      <w:r>
        <w:rPr>
          <w:rFonts w:ascii="Liberation Serif" w:hAnsi="Liberation Serif" w:cs="Liberation Serif"/>
          <w:sz w:val="18"/>
          <w:szCs w:val="18"/>
          <w:highlight w:val="white"/>
        </w:rPr>
        <w:t xml:space="preserve">ектрической энергии (мощности), объектов электросетевого хозяйства, в границах балансовой принадлежности которых установлены приборы учета и (или) иное оборудование, которое используется для обеспечения коммерческого учета электрической энергии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Указанные лица в соответствии с законодательством Российской Федерации обязаны возместить сетевой организации (поставщику) убытки, причиненные неисполнением или ненад</w:t>
      </w:r>
      <w:r>
        <w:rPr>
          <w:rFonts w:ascii="Liberation Serif" w:hAnsi="Liberation Serif" w:cs="Liberation Serif"/>
          <w:sz w:val="18"/>
          <w:szCs w:val="18"/>
          <w:highlight w:val="white"/>
        </w:rPr>
        <w:t xml:space="preserve">лежащим исполнением обязанностей по обеспечению сохранности и целостности установленных сетевой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3.</w:t>
      </w:r>
      <w:r>
        <w:rPr>
          <w:rFonts w:ascii="Liberation Serif" w:hAnsi="Liberation Serif" w:cs="Liberation Serif"/>
          <w:sz w:val="18"/>
          <w:szCs w:val="18"/>
          <w:highlight w:val="white"/>
        </w:rPr>
        <w:t xml:space="preserve">4</w:t>
      </w:r>
      <w:r>
        <w:rPr>
          <w:rFonts w:ascii="Liberation Serif" w:hAnsi="Liberation Serif" w:cs="Liberation Serif"/>
          <w:sz w:val="18"/>
          <w:szCs w:val="18"/>
          <w:highlight w:val="white"/>
        </w:rPr>
        <w:t xml:space="preserve">. Порядок установки (замены) и допуска установленного прибора учета в эксплуатацию лицом, обязанным осуществлять такие действия в соответствии с законодательством РФ об электроэнергетике, в том числе порядок действий Потребителя и </w:t>
      </w:r>
      <w:r>
        <w:rPr>
          <w:rFonts w:ascii="Liberation Serif" w:hAnsi="Liberation Serif" w:cs="Liberation Serif"/>
          <w:sz w:val="18"/>
          <w:szCs w:val="18"/>
          <w:highlight w:val="white"/>
        </w:rPr>
        <w:t xml:space="preserve">П</w:t>
      </w:r>
      <w:r>
        <w:rPr>
          <w:rFonts w:ascii="Liberation Serif" w:hAnsi="Liberation Serif" w:cs="Liberation Serif"/>
          <w:sz w:val="18"/>
          <w:szCs w:val="18"/>
          <w:highlight w:val="white"/>
        </w:rPr>
        <w:t xml:space="preserve">оставщика в рамках указанных процедур, по</w:t>
      </w:r>
      <w:r>
        <w:rPr>
          <w:rFonts w:ascii="Liberation Serif" w:hAnsi="Liberation Serif" w:cs="Liberation Serif"/>
          <w:sz w:val="18"/>
          <w:szCs w:val="18"/>
          <w:highlight w:val="white"/>
        </w:rPr>
        <w:t xml:space="preserve">рядок сообщения о выходе прибора учета (измерительного комплекса, измерительных трансформаторов) из строя и его (их) утрате установлены Основными положениями функционирования розничных рынков электрической энергии и иными нормативными правовыми актами РФ.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3.5. </w:t>
      </w:r>
      <w:r>
        <w:rPr>
          <w:rFonts w:ascii="Liberation Serif" w:hAnsi="Liberation Serif" w:cs="Liberation Serif"/>
          <w:sz w:val="18"/>
          <w:szCs w:val="18"/>
          <w:highlight w:val="white"/>
        </w:rPr>
        <w:t xml:space="preserve">Объём принятой и подлежащей оплате </w:t>
      </w:r>
      <w:r>
        <w:rPr>
          <w:rFonts w:ascii="Liberation Serif" w:hAnsi="Liberation Serif" w:cs="Liberation Serif"/>
          <w:sz w:val="18"/>
          <w:szCs w:val="18"/>
          <w:highlight w:val="white"/>
        </w:rPr>
        <w:t xml:space="preserve">П</w:t>
      </w:r>
      <w:r>
        <w:rPr>
          <w:rFonts w:ascii="Liberation Serif" w:hAnsi="Liberation Serif" w:cs="Liberation Serif"/>
          <w:sz w:val="18"/>
          <w:szCs w:val="18"/>
          <w:highlight w:val="white"/>
        </w:rPr>
        <w:t xml:space="preserve">отребителем электрической энергии (мощности) определяется без учёта объёмов</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потребления электрической энергии (мощности) субабонентов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\l "прил_4"</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u w:val="none"/>
        </w:rPr>
        <w:t xml:space="preserve">Приложение № </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2).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3.6. </w:t>
      </w:r>
      <w:r>
        <w:rPr>
          <w:rFonts w:ascii="Liberation Serif" w:hAnsi="Liberation Serif" w:cs="Liberation Serif"/>
          <w:sz w:val="18"/>
          <w:szCs w:val="18"/>
          <w:highlight w:val="white"/>
        </w:rPr>
        <w:t xml:space="preserve">В случае, расположения объектов энергоснабжения потребителя в </w:t>
      </w:r>
      <w:r>
        <w:rPr>
          <w:rFonts w:ascii="Liberation Serif" w:hAnsi="Liberation Serif" w:cs="Liberation Serif"/>
          <w:sz w:val="18"/>
          <w:szCs w:val="18"/>
          <w:highlight w:val="white"/>
        </w:rPr>
        <w:t xml:space="preserve">нежилых</w:t>
      </w:r>
      <w:r>
        <w:rPr>
          <w:rFonts w:ascii="Liberation Serif" w:hAnsi="Liberation Serif" w:cs="Liberation Serif"/>
          <w:sz w:val="18"/>
          <w:szCs w:val="18"/>
          <w:highlight w:val="white"/>
        </w:rPr>
        <w:t xml:space="preserve"> помещения</w:t>
      </w:r>
      <w:r>
        <w:rPr>
          <w:rFonts w:ascii="Liberation Serif" w:hAnsi="Liberation Serif" w:cs="Liberation Serif"/>
          <w:sz w:val="18"/>
          <w:szCs w:val="18"/>
          <w:highlight w:val="white"/>
        </w:rPr>
        <w:t xml:space="preserve">х</w:t>
      </w:r>
      <w:r>
        <w:rPr>
          <w:rFonts w:ascii="Liberation Serif" w:hAnsi="Liberation Serif" w:cs="Liberation Serif"/>
          <w:sz w:val="18"/>
          <w:szCs w:val="18"/>
          <w:highlight w:val="white"/>
        </w:rPr>
        <w:t xml:space="preserve"> многоквартирных жилых дом</w:t>
      </w:r>
      <w:r>
        <w:rPr>
          <w:rFonts w:ascii="Liberation Serif" w:hAnsi="Liberation Serif" w:cs="Liberation Serif"/>
          <w:sz w:val="18"/>
          <w:szCs w:val="18"/>
          <w:highlight w:val="white"/>
        </w:rPr>
        <w:t xml:space="preserve">ов</w:t>
      </w:r>
      <w:r>
        <w:rPr>
          <w:rFonts w:ascii="Liberation Serif" w:hAnsi="Liberation Serif" w:cs="Liberation Serif"/>
          <w:sz w:val="18"/>
          <w:szCs w:val="18"/>
          <w:highlight w:val="white"/>
        </w:rPr>
        <w:t xml:space="preserve">, потребитель та</w:t>
      </w:r>
      <w:r>
        <w:rPr>
          <w:rFonts w:ascii="Liberation Serif" w:hAnsi="Liberation Serif" w:cs="Liberation Serif"/>
          <w:sz w:val="18"/>
          <w:szCs w:val="18"/>
          <w:highlight w:val="white"/>
        </w:rPr>
        <w:t xml:space="preserve">кже оплачивает объем потребленной электрической энергии на содержание общего имущества (далее – СОИ) многоквартирного дома. Расчет объема и стоимости потребленной электрической энергии на СОИ, производится в соответствии с требованиями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9"/>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В случае</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если прибор учета расположен </w:t>
      </w:r>
      <w:r>
        <w:rPr>
          <w:rFonts w:ascii="Liberation Serif" w:hAnsi="Liberation Serif" w:cs="Liberation Serif"/>
          <w:sz w:val="18"/>
          <w:szCs w:val="18"/>
          <w:highlight w:val="white"/>
        </w:rPr>
        <w:t xml:space="preserve">не </w:t>
      </w:r>
      <w:r>
        <w:rPr>
          <w:rFonts w:ascii="Liberation Serif" w:hAnsi="Liberation Serif" w:cs="Liberation Serif"/>
          <w:sz w:val="18"/>
          <w:szCs w:val="18"/>
          <w:highlight w:val="white"/>
        </w:rPr>
        <w:t xml:space="preserve">на границе балансовой принадлежности объектов электроэнергетики (энерг</w:t>
      </w:r>
      <w:r>
        <w:rPr>
          <w:rFonts w:ascii="Liberation Serif" w:hAnsi="Liberation Serif" w:cs="Liberation Serif"/>
          <w:sz w:val="18"/>
          <w:szCs w:val="18"/>
          <w:highlight w:val="white"/>
        </w:rPr>
        <w:t xml:space="preserve">опринимающих устройств) потребителя,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w:t>
      </w:r>
      <w:r>
        <w:rPr>
          <w:rFonts w:ascii="Liberation Serif" w:hAnsi="Liberation Serif" w:cs="Liberation Serif"/>
          <w:sz w:val="18"/>
          <w:szCs w:val="18"/>
          <w:highlight w:val="white"/>
        </w:rPr>
        <w:t xml:space="preserve"> электрической энергии, указанных в Приложении № 2 и Приложении № 3 к настоящему договору, возникающих на участке сети от границы балансовой принадлежности объектов электроэнергетики (энергопринимающих устройств) потребителя до места установки прибора учет</w:t>
      </w:r>
      <w:r>
        <w:rPr>
          <w:rFonts w:ascii="Liberation Serif" w:hAnsi="Liberation Serif" w:cs="Liberation Serif"/>
          <w:sz w:val="18"/>
          <w:szCs w:val="18"/>
          <w:highlight w:val="white"/>
        </w:rPr>
        <w:t xml:space="preserve">а. Расчет величины потерь в таком случае осуществляется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 по электрическим сетям.</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9"/>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В случае если</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определение объема потребленной энергии в рамках Договора осуществляется с использованием совокупности точек учета, при этом безучетное потребление выявлено только в отношени</w:t>
      </w:r>
      <w:r>
        <w:rPr>
          <w:rFonts w:ascii="Liberation Serif" w:hAnsi="Liberation Serif" w:cs="Liberation Serif"/>
          <w:sz w:val="18"/>
          <w:szCs w:val="18"/>
          <w:highlight w:val="white"/>
        </w:rPr>
        <w:t xml:space="preserve">и одной (нескольких) из используемых точек учета, при отсутствии согласованного в рамках Договора распределения величины максимальной мощности по точкам учета, расчет объема безучетного потребления производится расчетным способом, установленным действующим</w:t>
      </w:r>
      <w:r>
        <w:rPr>
          <w:rFonts w:ascii="Liberation Serif" w:hAnsi="Liberation Serif" w:cs="Liberation Serif"/>
          <w:sz w:val="18"/>
          <w:szCs w:val="18"/>
          <w:highlight w:val="white"/>
        </w:rPr>
        <w:t xml:space="preserve"> законодательством РФ, с учетом распределения максимальной мощности энергопринимающих устройств в границах балансовой принадлежности по точкам учета пропорционально величине допустимой длительной токовой нагрузки соответствующего вводного провода (кабеля).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9"/>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По </w:t>
      </w:r>
      <w:r>
        <w:rPr>
          <w:rFonts w:ascii="Liberation Serif" w:hAnsi="Liberation Serif" w:cs="Liberation Serif"/>
          <w:sz w:val="18"/>
          <w:szCs w:val="18"/>
          <w:highlight w:val="white"/>
        </w:rPr>
        <w:t xml:space="preserve">факту выявленного в ходе проверки безучетного потребления электрической энергии сетевой организацией составляется акт о неучтенном потреблении электрической энергии на основании, которого осуществляются расчеты за потребленную таким образом электроэнергию.</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9"/>
        </w:numPr>
        <w:ind w:right="-1"/>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Лицами, ответственными за снятие показаний расчетного прибора учета, являются: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567" w:leader="none"/>
        </w:tabs>
        <w:rPr>
          <w:highlight w:val="white"/>
        </w:rPr>
      </w:pPr>
      <w:r>
        <w:rPr>
          <w:rFonts w:ascii="Liberation Serif" w:hAnsi="Liberation Serif" w:cs="Liberation Serif"/>
          <w:sz w:val="18"/>
          <w:szCs w:val="18"/>
          <w:highlight w:val="white"/>
        </w:rPr>
        <w:t xml:space="preserve">- сетевая организация в отношении приборов учета, присоединенных к интеллектуальным системам у</w:t>
      </w:r>
      <w:r>
        <w:rPr>
          <w:rFonts w:ascii="Liberation Serif" w:hAnsi="Liberation Serif" w:cs="Liberation Serif"/>
          <w:sz w:val="18"/>
          <w:szCs w:val="18"/>
          <w:highlight w:val="white"/>
        </w:rPr>
        <w:t xml:space="preserve">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сетевых организаций или в границах бесхозяйных объектов электросетевого хозяйства;</w:t>
      </w:r>
      <w:r>
        <w:rPr>
          <w:highlight w:val="white"/>
        </w:rPr>
      </w:r>
      <w:r>
        <w:rPr>
          <w:highlight w:val="white"/>
        </w:rPr>
      </w:r>
    </w:p>
    <w:p>
      <w:pPr>
        <w:pStyle w:val="929"/>
        <w:ind w:right="-1" w:firstLine="284"/>
        <w:jc w:val="both"/>
        <w:keepNext/>
        <w:widowControl w:val="off"/>
        <w:tabs>
          <w:tab w:val="left" w:pos="567"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потребители, собственники (владельцы) объектов электросетевого хозяйства в отношении расчетных приборов учета, установленных в границах объектов таких лиц и не присоединенных к интеллектуальным системам учета электрической энергии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9"/>
        </w:numPr>
        <w:ind w:left="0" w:right="-1" w:firstLine="284"/>
        <w:jc w:val="both"/>
        <w:keepNext/>
        <w:widowControl w:val="off"/>
        <w:tabs>
          <w:tab w:val="left" w:pos="567"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Стороны имеют иные права и обязанности по обеспечению учёта потреблённой электрической энергии (мощности), а также несут иную ответственность, предусмотренные Договором и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9"/>
        </w:numPr>
        <w:jc w:val="center"/>
        <w:keepNext/>
        <w:spacing w:before="240"/>
        <w:widowControl w:val="off"/>
        <w:rPr>
          <w:rFonts w:ascii="Liberation Serif" w:hAnsi="Liberation Serif" w:cs="Liberation Serif"/>
          <w:b/>
          <w:sz w:val="18"/>
          <w:szCs w:val="18"/>
          <w:highlight w:val="white"/>
        </w:rPr>
        <w:outlineLvl w:val="0"/>
      </w:pPr>
      <w:r>
        <w:rPr>
          <w:rFonts w:ascii="Liberation Serif" w:hAnsi="Liberation Serif" w:cs="Liberation Serif"/>
          <w:b/>
          <w:sz w:val="18"/>
          <w:szCs w:val="18"/>
          <w:highlight w:val="white"/>
        </w:rPr>
        <w:t xml:space="preserve">Ограничение режима потребления электрической энергии (мощности).</w:t>
      </w:r>
      <w:r>
        <w:rPr>
          <w:rFonts w:ascii="Liberation Serif" w:hAnsi="Liberation Serif" w:cs="Liberation Serif"/>
          <w:b/>
          <w:sz w:val="18"/>
          <w:szCs w:val="18"/>
          <w:highlight w:val="white"/>
        </w:rPr>
      </w:r>
      <w:r>
        <w:rPr>
          <w:rFonts w:ascii="Liberation Serif" w:hAnsi="Liberation Serif" w:cs="Liberation Serif"/>
          <w:b/>
          <w:sz w:val="18"/>
          <w:szCs w:val="18"/>
          <w:highlight w:val="white"/>
        </w:rPr>
      </w:r>
    </w:p>
    <w:p>
      <w:pPr>
        <w:pStyle w:val="929"/>
        <w:numPr>
          <w:ilvl w:val="1"/>
          <w:numId w:val="1"/>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Порядок и основа</w:t>
      </w:r>
      <w:r>
        <w:rPr>
          <w:rFonts w:ascii="Liberation Serif" w:hAnsi="Liberation Serif" w:cs="Liberation Serif"/>
          <w:sz w:val="18"/>
          <w:szCs w:val="18"/>
          <w:highlight w:val="white"/>
        </w:rPr>
        <w:t xml:space="preserve">ния введения ограничения режима потребления энергии в отношении энергопринимающих устройств и (или) объектов электроэнергетики Потребителя по Договору, в том числе по инициативе поставщика, порядок и основания возобновления подачи энергии, устанавливаются </w:t>
      </w:r>
      <w:r>
        <w:rPr>
          <w:rFonts w:ascii="Liberation Serif" w:hAnsi="Liberation Serif" w:cs="Liberation Serif"/>
          <w:sz w:val="18"/>
          <w:szCs w:val="18"/>
          <w:highlight w:val="white"/>
        </w:rPr>
        <w:t xml:space="preserve">Правилами полного и (или) частичного ограничения режима потребления электрической энергии.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Уведомление потребителя о введении ограничения режима потребления электрической энергии (мощности) осуществляется любым из следующих способов:</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вручение уведомления потребителю либо его представителю нарочно под расписку о вручении;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отправка уведомления заказным письмом на почтовый адрес потребителя, указанный в п.11.2 настоящего договора, </w:t>
      </w:r>
      <w:r>
        <w:rPr>
          <w:rFonts w:ascii="Liberation Serif" w:hAnsi="Liberation Serif" w:cs="Liberation Serif"/>
          <w:sz w:val="18"/>
          <w:szCs w:val="18"/>
          <w:highlight w:val="white"/>
        </w:rPr>
        <w:t xml:space="preserve">с уведомлением</w:t>
      </w:r>
      <w:r>
        <w:rPr>
          <w:rFonts w:ascii="Liberation Serif" w:hAnsi="Liberation Serif" w:cs="Liberation Serif"/>
          <w:sz w:val="18"/>
          <w:szCs w:val="18"/>
          <w:highlight w:val="white"/>
        </w:rPr>
        <w:t xml:space="preserve"> о вручении почтового отправления;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отправка уведомления в электронном виде с использованием телекоммуникационных каналов связи и усиленной квалифицированной электронной подписи, в соответствии с требованиями п.6.7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отправка уведомления потребителю через «личный кабинет клиента» на официальном сайте поставщика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"http://www.saratovenergo.ru/"</w:instrText>
      </w:r>
      <w:r>
        <w:rPr>
          <w:rFonts w:ascii="Liberation Serif" w:hAnsi="Liberation Serif" w:cs="Liberation Serif"/>
          <w:sz w:val="18"/>
          <w:szCs w:val="18"/>
          <w:highlight w:val="white"/>
        </w:rPr>
        <w:fldChar w:fldCharType="separate"/>
      </w:r>
      <w:r>
        <w:rPr>
          <w:rStyle w:val="1003"/>
          <w:rFonts w:ascii="Liberation Serif" w:hAnsi="Liberation Serif" w:cs="Liberation Serif"/>
          <w:color w:val="000000"/>
          <w:sz w:val="18"/>
          <w:szCs w:val="18"/>
          <w:highlight w:val="white"/>
        </w:rPr>
        <w:t xml:space="preserve">www.saratovenergo.ru</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  в информационно-телекоммуникационной сети «Интернет»;</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отправка уведомления в сканированном виде на адрес электронной почты потребителя, указанный в п.11.2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посредством включения текста уведом</w:t>
      </w:r>
      <w:r>
        <w:rPr>
          <w:rFonts w:ascii="Liberation Serif" w:hAnsi="Liberation Serif" w:cs="Liberation Serif"/>
          <w:sz w:val="18"/>
          <w:szCs w:val="18"/>
          <w:highlight w:val="white"/>
        </w:rPr>
        <w:t xml:space="preserve">ления в счет на оплату потребленной электрической энергии (мощности), оказанных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потребителю по настоящему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8"/>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отправка короткого текстового сообщения (смс-сообщение) на номер мобильного телефона потребителя, указанный в п.11.2 договора, и иным способом, позволяющим подтвердить доставку уведомления о введении ограничения режима потребления.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Возобновление подачи электрической энергии осуществляется после устранения Потребителем оснований для введения ограничения режима потребления в порядке и сроки, установленные </w:t>
      </w:r>
      <w:r>
        <w:rPr>
          <w:rFonts w:ascii="Liberation Serif" w:hAnsi="Liberation Serif" w:cs="Liberation Serif"/>
          <w:sz w:val="18"/>
          <w:szCs w:val="18"/>
          <w:highlight w:val="white"/>
        </w:rPr>
        <w:t xml:space="preserve">Правилами полного и (или) частичного ограничения режима потребления электрической энергии</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Уведомление о введении ограничения режима потребления считается доставленным, а Потребитель надлежащим образом, уведомленным в день доставки Потребителю уведомления способами</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указанными в соответствии с требованиями п.4.2.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
        </w:numPr>
        <w:ind w:left="0" w:firstLine="284"/>
        <w:jc w:val="both"/>
        <w:keepNext/>
        <w:widowControl w:val="off"/>
        <w:rPr>
          <w:rFonts w:ascii="Liberation Serif" w:hAnsi="Liberation Serif" w:cs="Liberation Serif"/>
          <w:sz w:val="18"/>
          <w:szCs w:val="18"/>
          <w:highlight w:val="white"/>
        </w:rPr>
        <w:outlineLvl w:val="1"/>
      </w:pPr>
      <w:r>
        <w:rPr>
          <w:highlight w:val="white"/>
        </w:rPr>
      </w:r>
      <w:bookmarkStart w:id="7" w:name="_Hlk102121750"/>
      <w:r>
        <w:rPr>
          <w:rFonts w:ascii="Liberation Serif" w:hAnsi="Liberation Serif" w:cs="Liberation Serif"/>
          <w:sz w:val="18"/>
          <w:szCs w:val="18"/>
          <w:highlight w:val="white"/>
        </w:rPr>
        <w:t xml:space="preserve">Стороны соглашаются и признают, что подтверждением надлежащего уведомлени</w:t>
      </w:r>
      <w:r>
        <w:rPr>
          <w:rFonts w:ascii="Liberation Serif" w:hAnsi="Liberation Serif" w:cs="Liberation Serif"/>
          <w:sz w:val="18"/>
          <w:szCs w:val="18"/>
          <w:highlight w:val="white"/>
        </w:rPr>
        <w:t xml:space="preserve">я Потребителя о введении ограничения режима потребления являются: по адресу электронной почты – распечатка страницы электронной почты с указанием даты и времени направления письма с отсканированным текстом уведомления на адрес электронной почты Потребителя</w:t>
      </w:r>
      <w:r>
        <w:rPr>
          <w:rFonts w:ascii="Liberation Serif" w:hAnsi="Liberation Serif" w:cs="Liberation Serif"/>
          <w:sz w:val="18"/>
          <w:szCs w:val="18"/>
          <w:highlight w:val="white"/>
        </w:rPr>
        <w:t xml:space="preserve">, указанный в п.11.2. Договора; посредством «Личного кабинета» – распечатка скриншота интернет-страницы «Личного кабинета», с указанием ее адреса, а также даты и времени размещения уведомления о введении ограничения, с отсканированным текстом уведомления.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360" w:right="-1"/>
        <w:jc w:val="both"/>
        <w:keepNext/>
        <w:widowControl w:val="off"/>
        <w:tabs>
          <w:tab w:val="left" w:pos="567" w:leader="none"/>
        </w:tabs>
        <w:rPr>
          <w:rFonts w:ascii="Liberation Serif" w:hAnsi="Liberation Serif" w:cs="Liberation Serif"/>
          <w:sz w:val="18"/>
          <w:szCs w:val="18"/>
          <w:highlight w:val="white"/>
        </w:rPr>
      </w:pPr>
      <w:r>
        <w:rPr>
          <w:highlight w:val="white"/>
        </w:rPr>
      </w:r>
      <w:bookmarkEnd w:id="6"/>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7"/>
        </w:numPr>
        <w:ind w:right="-1"/>
        <w:jc w:val="center"/>
        <w:keepNext/>
        <w:widowControl w:val="off"/>
        <w:tabs>
          <w:tab w:val="left" w:pos="1134" w:leader="none"/>
        </w:tabs>
        <w:rPr>
          <w:rFonts w:ascii="Liberation Serif" w:hAnsi="Liberation Serif" w:cs="Liberation Serif"/>
          <w:b/>
          <w:sz w:val="18"/>
          <w:szCs w:val="18"/>
          <w:highlight w:val="white"/>
        </w:rPr>
      </w:pPr>
      <w:r>
        <w:rPr>
          <w:highlight w:val="white"/>
        </w:rPr>
      </w:r>
      <w:bookmarkEnd w:id="7"/>
      <w:r>
        <w:rPr>
          <w:rFonts w:ascii="Liberation Serif" w:hAnsi="Liberation Serif" w:cs="Liberation Serif"/>
          <w:b/>
          <w:sz w:val="18"/>
          <w:szCs w:val="18"/>
          <w:highlight w:val="white"/>
        </w:rPr>
        <w:t xml:space="preserve">Цена договора</w:t>
      </w:r>
      <w:r>
        <w:rPr>
          <w:rFonts w:ascii="Liberation Serif" w:hAnsi="Liberation Serif" w:cs="Liberation Serif"/>
          <w:b/>
          <w:sz w:val="18"/>
          <w:szCs w:val="18"/>
          <w:highlight w:val="white"/>
        </w:rPr>
      </w:r>
      <w:r>
        <w:rPr>
          <w:rFonts w:ascii="Liberation Serif" w:hAnsi="Liberation Serif" w:cs="Liberation Serif"/>
          <w:b/>
          <w:sz w:val="18"/>
          <w:szCs w:val="18"/>
          <w:highlight w:val="white"/>
        </w:rPr>
      </w:r>
    </w:p>
    <w:p>
      <w:pPr>
        <w:pStyle w:val="929"/>
        <w:numPr>
          <w:ilvl w:val="1"/>
          <w:numId w:val="17"/>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О</w:t>
      </w:r>
      <w:r>
        <w:rPr>
          <w:rFonts w:ascii="Liberation Serif" w:hAnsi="Liberation Serif" w:cs="Liberation Serif"/>
          <w:sz w:val="18"/>
          <w:szCs w:val="18"/>
          <w:highlight w:val="white"/>
        </w:rPr>
        <w:t xml:space="preserve">риентировочная цена настоящего договора составляет: ____________ тыс.руб., в том числе НДС ____________ тыс.руб. Ориентировочная цена рассчитана исходя из произведения договорного количества поставки электрической энергии (мощности) на прогнозные значения </w:t>
      </w:r>
      <w:r>
        <w:rPr>
          <w:rFonts w:ascii="Liberation Serif" w:hAnsi="Liberation Serif" w:cs="Liberation Serif"/>
          <w:sz w:val="18"/>
          <w:szCs w:val="18"/>
          <w:highlight w:val="white"/>
        </w:rPr>
        <w:t xml:space="preserve">цен, сформирован</w:t>
      </w:r>
      <w:r>
        <w:rPr>
          <w:rFonts w:ascii="Liberation Serif" w:hAnsi="Liberation Serif" w:cs="Liberation Serif"/>
          <w:sz w:val="18"/>
          <w:szCs w:val="18"/>
          <w:highlight w:val="white"/>
        </w:rPr>
        <w:t xml:space="preserve">ных на основании фактически сложившихся предельных уровней нерегулируемых цен на электрическую энергию (мощность) за последний месяц, с учетом выбранной Потребителем для расчетов ценовой категории и расчетного уровня напряжения, указанных в Приложении № 1.</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5"/>
        </w:numPr>
        <w:ind w:right="-1" w:firstLine="284"/>
        <w:jc w:val="center"/>
        <w:keepNext/>
        <w:widowControl w:val="off"/>
        <w:rPr>
          <w:rFonts w:ascii="Liberation Serif" w:hAnsi="Liberation Serif" w:cs="Liberation Serif"/>
          <w:b/>
          <w:sz w:val="18"/>
          <w:szCs w:val="18"/>
          <w:highlight w:val="white"/>
        </w:rPr>
      </w:pPr>
      <w:r>
        <w:rPr>
          <w:rFonts w:ascii="Liberation Serif" w:hAnsi="Liberation Serif" w:cs="Liberation Serif"/>
          <w:b/>
          <w:sz w:val="18"/>
          <w:szCs w:val="18"/>
          <w:highlight w:val="white"/>
        </w:rPr>
        <w:t xml:space="preserve">Расчеты за электрическую энергию (мощность) и оказанные услуги.</w:t>
      </w:r>
      <w:r>
        <w:rPr>
          <w:rFonts w:ascii="Liberation Serif" w:hAnsi="Liberation Serif" w:cs="Liberation Serif"/>
          <w:b/>
          <w:sz w:val="18"/>
          <w:szCs w:val="18"/>
          <w:highlight w:val="white"/>
        </w:rPr>
      </w:r>
      <w:r>
        <w:rPr>
          <w:rFonts w:ascii="Liberation Serif" w:hAnsi="Liberation Serif" w:cs="Liberation Serif"/>
          <w:b/>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Расчетным периодом считается календарный месяц, периоды платежей определяются сроками промежуточных платежей, установленных внутри расчетного периода. Поставщик производит расчёты за фактически потребленную в расчетном периоде электрическ</w:t>
      </w:r>
      <w:r>
        <w:rPr>
          <w:rFonts w:ascii="Liberation Serif" w:hAnsi="Liberation Serif" w:cs="Liberation Serif"/>
          <w:sz w:val="18"/>
          <w:szCs w:val="18"/>
          <w:highlight w:val="white"/>
        </w:rPr>
        <w:t xml:space="preserve">ую энергию (мощности) и выставляет потребителю в сроки, указанные в настоящем договоре платёжные документы на оплату поставленной электрической энергии (мощности), а также оказанных услуг, связанных с передачей электрической энергии и мощности по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Поставщик производит расчёты и выставляет потребителю в сроки, указанные в настоящем договоре, счета-фактуры и счета на оплату: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потреблённой за расчётный период электрической энергии и мощности, объём которой сформирован в соответствии с условиями договора и действующего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безучётного потребления электрической энергии и мощности, при наличии надлежащим образом оформленного акта, подтверждающего данный факт и обоснованного расчёта объёмов безучётного потребления электрической энергии и мощности;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затрат, понесенных поставщиком и сетевой организацией в связи с введением в отношении потребителя, ограничения режима потребления электрической энергии (мощности), согласно пункта 2.2.</w:t>
      </w:r>
      <w:r>
        <w:rPr>
          <w:rFonts w:ascii="Liberation Serif" w:hAnsi="Liberation Serif" w:cs="Liberation Serif"/>
          <w:sz w:val="18"/>
          <w:szCs w:val="18"/>
          <w:highlight w:val="white"/>
        </w:rPr>
        <w:t xml:space="preserve">1</w:t>
      </w:r>
      <w:r>
        <w:rPr>
          <w:rFonts w:ascii="Liberation Serif" w:hAnsi="Liberation Serif" w:cs="Liberation Serif"/>
          <w:sz w:val="18"/>
          <w:szCs w:val="18"/>
          <w:highlight w:val="white"/>
        </w:rPr>
        <w:t xml:space="preserve">. и порядка, предусмотренного </w:t>
      </w:r>
      <w:r>
        <w:rPr>
          <w:rFonts w:ascii="Liberation Serif" w:hAnsi="Liberation Serif" w:cs="Liberation Serif"/>
          <w:sz w:val="18"/>
          <w:szCs w:val="18"/>
          <w:highlight w:val="white"/>
        </w:rPr>
        <w:t xml:space="preserve">Р</w:t>
      </w:r>
      <w:r>
        <w:rPr>
          <w:rFonts w:ascii="Liberation Serif" w:hAnsi="Liberation Serif" w:cs="Liberation Serif"/>
          <w:sz w:val="18"/>
          <w:szCs w:val="18"/>
          <w:highlight w:val="white"/>
        </w:rPr>
        <w:t xml:space="preserve">азделом 4 Договора, а также возобновления подачи электрической энергии (мощности) после устранения причин, явившихся основанием для ограничения режима потребления электрическо</w:t>
      </w:r>
      <w:r>
        <w:rPr>
          <w:rFonts w:ascii="Liberation Serif" w:hAnsi="Liberation Serif" w:cs="Liberation Serif"/>
          <w:sz w:val="18"/>
          <w:szCs w:val="18"/>
          <w:highlight w:val="white"/>
        </w:rPr>
        <w:t xml:space="preserve">й энергии (мощности). Расчёт стоимости оказанных поставщиком и сетевой организацией услуг производится поставщиком на основании калькуляций, утвержденных в установленном порядке, в рамках предельных значений, установленных действующим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неустойки за нарушение обязательств по оплате в соответствии с условиями пункта 7.</w:t>
      </w:r>
      <w:r>
        <w:rPr>
          <w:rFonts w:ascii="Liberation Serif" w:hAnsi="Liberation Serif" w:cs="Liberation Serif"/>
          <w:sz w:val="18"/>
          <w:szCs w:val="18"/>
          <w:highlight w:val="white"/>
        </w:rPr>
        <w:t xml:space="preserve">2</w:t>
      </w:r>
      <w:r>
        <w:rPr>
          <w:rFonts w:ascii="Liberation Serif" w:hAnsi="Liberation Serif" w:cs="Liberation Serif"/>
          <w:sz w:val="18"/>
          <w:szCs w:val="18"/>
          <w:highlight w:val="white"/>
        </w:rPr>
        <w:t xml:space="preserve">. настоящего договора</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убытков поставщика, причиненных неисполнением или ненадлежащим исполнением </w:t>
      </w:r>
      <w:r>
        <w:rPr>
          <w:rFonts w:ascii="Liberation Serif" w:hAnsi="Liberation Serif" w:cs="Liberation Serif"/>
          <w:sz w:val="18"/>
          <w:szCs w:val="18"/>
          <w:highlight w:val="white"/>
        </w:rPr>
        <w:t xml:space="preserve">П</w:t>
      </w:r>
      <w:r>
        <w:rPr>
          <w:rFonts w:ascii="Liberation Serif" w:hAnsi="Liberation Serif" w:cs="Liberation Serif"/>
          <w:sz w:val="18"/>
          <w:szCs w:val="18"/>
          <w:highlight w:val="white"/>
        </w:rPr>
        <w:t xml:space="preserve">отребителем обязанностей по обеспечению сохранности и целостности установленных </w:t>
      </w:r>
      <w:r>
        <w:rPr>
          <w:rFonts w:ascii="Liberation Serif" w:hAnsi="Liberation Serif" w:cs="Liberation Serif"/>
          <w:sz w:val="18"/>
          <w:szCs w:val="18"/>
          <w:highlight w:val="white"/>
        </w:rPr>
        <w:t xml:space="preserve">П</w:t>
      </w:r>
      <w:r>
        <w:rPr>
          <w:rFonts w:ascii="Liberation Serif" w:hAnsi="Liberation Serif" w:cs="Liberation Serif"/>
          <w:sz w:val="18"/>
          <w:szCs w:val="18"/>
          <w:highlight w:val="white"/>
        </w:rPr>
        <w:t xml:space="preserve">оставщиком приборов учета и (или) иного оборудования, которые используются для обеспечения коммерческого учета электрической энергии (мощности), согласно требованиям, п.3.</w:t>
      </w:r>
      <w:r>
        <w:rPr>
          <w:rFonts w:ascii="Liberation Serif" w:hAnsi="Liberation Serif" w:cs="Liberation Serif"/>
          <w:sz w:val="18"/>
          <w:szCs w:val="18"/>
          <w:highlight w:val="white"/>
        </w:rPr>
        <w:t xml:space="preserve">3</w:t>
      </w:r>
      <w:r>
        <w:rPr>
          <w:rFonts w:ascii="Liberation Serif" w:hAnsi="Liberation Serif" w:cs="Liberation Serif"/>
          <w:sz w:val="18"/>
          <w:szCs w:val="18"/>
          <w:highlight w:val="white"/>
        </w:rPr>
        <w:t xml:space="preserve"> настоящего договора и требованиям действующего законодательства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Потребитель в течение текущего расчётного периода производит оплату поставщику за электрическую энергию и мощность, в следующие сроки: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- 30% стоимости электрической энергии (мощности) в подлежащем оплате объёме покупки в месяце, за который осуществляется оплата, вносится до 10-го числа этого месяца;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- 40% стоимости электрической энергии (мощности) в подлежащем оплате объёме покупки в месяце, за который осуществляется оплата, вносится до 25-го числа этого месяца.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Стоимость электрической энергии (мощности) в подлежащем оплате объёме покупки определяется исходя из нерегулируемых цен на электрическую энергию (мощность) за предшествующий расчётный период для соответствующей ценовой  категории с уч</w:t>
      </w:r>
      <w:r>
        <w:rPr>
          <w:rFonts w:ascii="Liberation Serif" w:hAnsi="Liberation Serif" w:cs="Liberation Serif"/>
          <w:sz w:val="18"/>
          <w:szCs w:val="18"/>
          <w:highlight w:val="white"/>
        </w:rPr>
        <w:t xml:space="preserve">ётом дифференциации нерегулируемых цен и фактического объёма потребления электрической энергии (мощности) за предшествующий расчётный период, без учёта объёмов поставки электрической энергии (мощности), приобретённой потребителем для поставки её населению.</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выставления счёта для оплаты электрической энергии (мощности) до определения цены на</w:t>
      </w:r>
      <w:r>
        <w:rPr>
          <w:rFonts w:ascii="Liberation Serif" w:hAnsi="Liberation Serif" w:cs="Liberation Serif"/>
          <w:sz w:val="18"/>
          <w:szCs w:val="18"/>
          <w:highlight w:val="white"/>
        </w:rPr>
        <w:t xml:space="preserve"> электрическую энергию (мощность) за предшествующий расчётный период для определения размера платежей используется нерегулируемая цена на электрическую энергию (мощность) за последний расчётный период, в отношении которого она определена и официально опубл</w:t>
      </w:r>
      <w:r>
        <w:rPr>
          <w:rFonts w:ascii="Liberation Serif" w:hAnsi="Liberation Serif" w:cs="Liberation Serif"/>
          <w:sz w:val="18"/>
          <w:szCs w:val="18"/>
          <w:highlight w:val="white"/>
        </w:rPr>
        <w:t xml:space="preserve">икована для соответствующей ценовой категории с учётом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0"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отсутствия сведений о фактическом объёме потребления электрической эне</w:t>
      </w:r>
      <w:r>
        <w:rPr>
          <w:rFonts w:ascii="Liberation Serif" w:hAnsi="Liberation Serif" w:cs="Liberation Serif"/>
          <w:sz w:val="18"/>
          <w:szCs w:val="18"/>
          <w:highlight w:val="white"/>
        </w:rPr>
        <w:t xml:space="preserve">ргии (мощности) за предшествующий расчётный период, об</w:t>
      </w:r>
      <w:r>
        <w:rPr>
          <w:rFonts w:ascii="Liberation Serif" w:hAnsi="Liberation Serif" w:cs="Liberation Serif"/>
          <w:sz w:val="18"/>
          <w:szCs w:val="18"/>
          <w:highlight w:val="white"/>
        </w:rPr>
        <w:t xml:space="preserve">ъём покупки электрической энергии (мощности) рассчитывается исходя из отношения максимальной мощности, указанной в приложении № 5 к настоящему договору, и коэффициента оплаты мощности, равного 0,002824.</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tabs>
          <w:tab w:val="left" w:pos="28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Стоимость объема покупки электрической энергии и мощности, а также услуг по передаче электрической энергии в месяце, за который осуществляется оплата, за вычетом средств, внесе</w:t>
      </w:r>
      <w:r>
        <w:rPr>
          <w:rFonts w:ascii="Liberation Serif" w:hAnsi="Liberation Serif" w:cs="Liberation Serif"/>
          <w:sz w:val="18"/>
          <w:szCs w:val="18"/>
          <w:highlight w:val="white"/>
        </w:rPr>
        <w:t xml:space="preserve">нных Потребителем в качестве оплаты электрической энергии и мощности, услуг по передаче электрической энергии внесенных потребителем согласно требованиям, п.6.3. настоящего договора, оплачивается потребителем до 18-го числа месяца, следующего за расчетным.</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Объем потребленной электрической энергии оплачивается по нерегулируемым ценам в рамках предельных уровней нерегулируемых цен, определяемых и применяемых в соответствии с Основные положения функционирования розничных рынков электрической энергии.</w:t>
      </w:r>
      <w:r>
        <w:rPr>
          <w:rFonts w:ascii="Liberation Serif" w:hAnsi="Liberation Serif" w:cs="Liberation Serif"/>
          <w:i/>
          <w:sz w:val="18"/>
          <w:szCs w:val="18"/>
          <w:highlight w:val="white"/>
        </w:rPr>
        <w:t xml:space="preserve">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если размер оплаты, произведенной потребителем в соответствии с требованиями пункта 6.3. настоящего догов</w:t>
      </w:r>
      <w:r>
        <w:rPr>
          <w:rFonts w:ascii="Liberation Serif" w:hAnsi="Liberation Serif" w:cs="Liberation Serif"/>
          <w:sz w:val="18"/>
          <w:szCs w:val="18"/>
          <w:highlight w:val="white"/>
        </w:rPr>
        <w:t xml:space="preserve">ора, превысит стоимость фактического объема покупки электрической энергии (мощности) в месяце, за который осуществляется оплата, излишне </w:t>
      </w:r>
      <w:r>
        <w:rPr>
          <w:rFonts w:ascii="Liberation Serif" w:hAnsi="Liberation Serif" w:cs="Liberation Serif"/>
          <w:sz w:val="18"/>
          <w:szCs w:val="18"/>
          <w:highlight w:val="white"/>
        </w:rPr>
        <w:t xml:space="preserve">уплаченная сумма засчитывается в счет платежа за месяц, следующий за месяцем, в котором была осуществлена такая оплата.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Поставщик в срок до 16 числа месяца, следующего за расчётным, выставляет потребителю следующие документы:</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3"/>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акт приема-передачи электрической энергии (мощности) за расчётный период;</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3"/>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счёт-фактуру на объём и стоимость потреблённой электрической энергии и мощности, и другие услуги, неразрывно связанные с процессом передачи электрической энергии;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3"/>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корректировочные либо исправительные счёта-фактуры за периоды, предшествующие расчётному, при наличии оснований;</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3"/>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изменение в акты об объёме фактически потреблённой электрической энергии и мощности за периоды, предшествующие расчётному, при наличии оснований;</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3"/>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сч</w:t>
      </w:r>
      <w:r>
        <w:rPr>
          <w:rFonts w:ascii="Liberation Serif" w:hAnsi="Liberation Serif" w:cs="Liberation Serif"/>
          <w:sz w:val="18"/>
          <w:szCs w:val="18"/>
          <w:highlight w:val="white"/>
        </w:rPr>
        <w:t xml:space="preserve">ёт (единый или раздельные счета) на суммы, подлежащие оплате потребителем в адрес поставщика, по итогам расчётного периода.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Потребитель не позднее 3 рабочих дней с момента получения от поставщика акта приема-передачи электрической энергии (мощности) за расчётный период, или изменений в акт за период, предшествующий р</w:t>
      </w:r>
      <w:r>
        <w:rPr>
          <w:rFonts w:ascii="Liberation Serif" w:hAnsi="Liberation Serif" w:cs="Liberation Serif"/>
          <w:sz w:val="18"/>
          <w:szCs w:val="18"/>
          <w:highlight w:val="white"/>
        </w:rPr>
        <w:t xml:space="preserve">асчётному, направленных поставщиком в соответствии с требованиями пункта 6.5. договора, направляет способами, указанными в п. 6.7 настоящего договора, поставщику подписанный со своей стороны экземпляр данного акта, либо мотивированный письменный отказ от е</w:t>
      </w:r>
      <w:r>
        <w:rPr>
          <w:rFonts w:ascii="Liberation Serif" w:hAnsi="Liberation Serif" w:cs="Liberation Serif"/>
          <w:sz w:val="18"/>
          <w:szCs w:val="18"/>
          <w:highlight w:val="white"/>
        </w:rPr>
        <w:t xml:space="preserve">го подписания</w:t>
      </w:r>
      <w:r>
        <w:rPr>
          <w:rFonts w:ascii="Liberation Serif" w:hAnsi="Liberation Serif" w:cs="Liberation Serif"/>
          <w:sz w:val="18"/>
          <w:szCs w:val="18"/>
          <w:highlight w:val="white"/>
        </w:rPr>
        <w:t xml:space="preserve">. </w:t>
      </w:r>
      <w:bookmarkStart w:id="8" w:name="п_6_8"/>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Стороны пришли к соглашению об использовании электронного документооборота при выставлении поставщиком и получении Потребителем актов приема-передачи, счетов-фактур, счетов на оплату энергии (мощности), универсальных </w:t>
      </w:r>
      <w:r>
        <w:rPr>
          <w:rFonts w:ascii="Liberation Serif" w:hAnsi="Liberation Serif" w:cs="Liberation Serif"/>
          <w:sz w:val="18"/>
          <w:szCs w:val="18"/>
          <w:highlight w:val="white"/>
        </w:rPr>
        <w:t xml:space="preserve">передаточных </w:t>
      </w:r>
      <w:r>
        <w:rPr>
          <w:rFonts w:ascii="Liberation Serif" w:hAnsi="Liberation Serif" w:cs="Liberation Serif"/>
          <w:sz w:val="18"/>
          <w:szCs w:val="18"/>
          <w:highlight w:val="white"/>
        </w:rPr>
        <w:t xml:space="preserve">документов</w:t>
      </w:r>
      <w:r>
        <w:rPr>
          <w:rFonts w:ascii="Liberation Serif" w:hAnsi="Liberation Serif" w:cs="Liberation Serif"/>
          <w:sz w:val="18"/>
          <w:szCs w:val="18"/>
          <w:highlight w:val="white"/>
        </w:rPr>
        <w:t xml:space="preserve"> (при уведомлении Поставщика не менее чем за 5 рабочих дней до начала расчетного периода)</w:t>
      </w:r>
      <w:r>
        <w:rPr>
          <w:rFonts w:ascii="Liberation Serif" w:hAnsi="Liberation Serif" w:cs="Liberation Serif"/>
          <w:sz w:val="18"/>
          <w:szCs w:val="18"/>
          <w:highlight w:val="white"/>
        </w:rPr>
        <w:t xml:space="preserve">, претензий (требований), в соответствии с одним из нижеследующих вариантов:</w:t>
      </w:r>
      <w:bookmarkEnd w:id="8"/>
      <w:r>
        <w:rPr>
          <w:highlight w:val="white"/>
        </w:rPr>
      </w:r>
      <w:bookmarkStart w:id="9" w:name="_Hlk102559560"/>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Обмен электронными документами, подписанными усиленной квалифицированной электронной подписью, посредством системы электронного документооборота (Диадок / СБИС</w:t>
      </w:r>
      <w:r>
        <w:rPr>
          <w:rFonts w:ascii="Liberation Serif" w:hAnsi="Liberation Serif" w:cs="Liberation Serif"/>
          <w:sz w:val="18"/>
          <w:szCs w:val="18"/>
          <w:highlight w:val="white"/>
        </w:rPr>
        <w:t xml:space="preserve">/ др.</w:t>
      </w:r>
      <w:r>
        <w:rPr>
          <w:rFonts w:ascii="Liberation Serif" w:hAnsi="Liberation Serif" w:cs="Liberation Serif"/>
          <w:sz w:val="18"/>
          <w:szCs w:val="18"/>
          <w:highlight w:val="white"/>
        </w:rPr>
        <w:t xml:space="preserve">)_____________________________, оператором которой является___________________________________________, (АО «ПФ «СКБ Контур» / ООО «Компания «Тензор»</w:t>
      </w:r>
      <w:r>
        <w:rPr>
          <w:rFonts w:ascii="Liberation Serif" w:hAnsi="Liberation Serif" w:cs="Liberation Serif"/>
          <w:sz w:val="18"/>
          <w:szCs w:val="18"/>
          <w:highlight w:val="white"/>
        </w:rPr>
        <w:t xml:space="preserve">/ др.</w:t>
      </w:r>
      <w:r>
        <w:rPr>
          <w:rFonts w:ascii="Liberation Serif" w:hAnsi="Liberation Serif" w:cs="Liberation Serif"/>
          <w:sz w:val="18"/>
          <w:szCs w:val="18"/>
          <w:highlight w:val="white"/>
        </w:rPr>
        <w:t xml:space="preserve">)                                                                                                                                                   по телекоммуникацион</w:t>
      </w:r>
      <w:r>
        <w:rPr>
          <w:rFonts w:ascii="Liberation Serif" w:hAnsi="Liberation Serif" w:cs="Liberation Serif"/>
          <w:sz w:val="18"/>
          <w:szCs w:val="18"/>
          <w:highlight w:val="white"/>
        </w:rPr>
        <w:t xml:space="preserve">ным каналам связи – в порядке, установленном настоящим Договором, действующим законодательством РФ, а также договорами об обмене электронными документами, заключенными Сторонами с соответствующим оператором электронного документооборота (далее – Оператор).</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highlight w:val="white"/>
        </w:rPr>
      </w:r>
      <w:bookmarkEnd w:id="9"/>
      <w:r>
        <w:rPr>
          <w:rFonts w:ascii="Liberation Serif" w:hAnsi="Liberation Serif" w:cs="Liberation Serif"/>
          <w:sz w:val="18"/>
          <w:szCs w:val="18"/>
          <w:highlight w:val="white"/>
        </w:rPr>
        <w:t xml:space="preserve">Для участия в электронном документообороте и соблюдения условий Договора в части выставления и получения электронных документов Сторонам следует:</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а) иметь действующий сертификат квалифицированной электронной подписи, используемый для сдачи отчётности в контролирующие органы через «Интернет»;</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б) оформить и предоставить Оператору заявление об участии в электронном документообороте по телекоммуникационным каналам связи;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в) заключить с Оператором договор об участии в электронном документообороте;</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г) получить у Оператора идентификатор участника электронного документооборота, реквизиты доступа и другие данные, необходимые для </w:t>
      </w:r>
      <w:r>
        <w:rPr>
          <w:rFonts w:ascii="Liberation Serif" w:hAnsi="Liberation Serif" w:cs="Liberation Serif"/>
          <w:sz w:val="18"/>
          <w:szCs w:val="18"/>
          <w:highlight w:val="white"/>
        </w:rPr>
        <w:t xml:space="preserve">подключения к электронному документообороту по телекоммуникационным каналам связи, а также при необходимости настроить роуминг (функцию межоператорского взаимодействия для обмена электронными данными) между операт</w:t>
      </w:r>
      <w:r>
        <w:rPr>
          <w:rFonts w:ascii="Liberation Serif" w:hAnsi="Liberation Serif" w:cs="Liberation Serif"/>
          <w:sz w:val="18"/>
          <w:szCs w:val="18"/>
          <w:highlight w:val="white"/>
        </w:rPr>
        <w:t xml:space="preserve">орами электронного документооборота Сторон;</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 д) после входа в систему электронного документооборота добавить другую Сторону Договора в список контрагентов.</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Каждая Сторона вправе приостановить электронный документооборот на основании письменного уведомления другой Стороны. В уведомле</w:t>
      </w:r>
      <w:r>
        <w:rPr>
          <w:rFonts w:ascii="Liberation Serif" w:hAnsi="Liberation Serif" w:cs="Liberation Serif"/>
          <w:sz w:val="18"/>
          <w:szCs w:val="18"/>
          <w:highlight w:val="white"/>
        </w:rPr>
        <w:t xml:space="preserve">нии указываются причины, дата начала приостановления и срок приостановления электронного документооборота. На период приостановления электронного документооборота в целях обмена платежно-расчетными документами Стороны переходят к варианту, описанному в п. </w:t>
      </w:r>
      <w:r>
        <w:rPr>
          <w:rFonts w:ascii="Liberation Serif" w:hAnsi="Liberation Serif" w:cs="Liberation Serif"/>
          <w:sz w:val="18"/>
          <w:szCs w:val="18"/>
          <w:highlight w:val="white"/>
        </w:rPr>
        <w:t xml:space="preserve">6.7.2. договора, либо на бумажный документооборот. В указанном случае Стороны вправе согласовать иные способ и место получения счетов и первичных учетных документов на оплату энергии (мощности) по Договору посредством заключения дополнительного соглашения.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Возобновление электронного документооборота производится на основании письменного уведомления Стороной – инициатором приост</w:t>
      </w:r>
      <w:r>
        <w:rPr>
          <w:rFonts w:ascii="Liberation Serif" w:hAnsi="Liberation Serif" w:cs="Liberation Serif"/>
          <w:sz w:val="18"/>
          <w:szCs w:val="18"/>
          <w:highlight w:val="white"/>
        </w:rPr>
        <w:t xml:space="preserve">ановления электронного документооборота другой Стороны.</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отсутствии у Сторон(ы) доступа к систем</w:t>
      </w:r>
      <w:r>
        <w:rPr>
          <w:rFonts w:ascii="Liberation Serif" w:hAnsi="Liberation Serif" w:cs="Liberation Serif"/>
          <w:sz w:val="18"/>
          <w:szCs w:val="18"/>
          <w:highlight w:val="white"/>
        </w:rPr>
        <w:t xml:space="preserve">е электронного документооборота поставщик направляет Потребителю счета, акт приема-передачи энергии (мощности) и счет-фактуру за расчетный период через «Личный кабинет», а при недоступности «Личного кабинета», или отсутствии у Потребителя регистрации в «Ли</w:t>
      </w:r>
      <w:r>
        <w:rPr>
          <w:rFonts w:ascii="Liberation Serif" w:hAnsi="Liberation Serif" w:cs="Liberation Serif"/>
          <w:sz w:val="18"/>
          <w:szCs w:val="18"/>
          <w:highlight w:val="white"/>
        </w:rPr>
        <w:t xml:space="preserve">чном кабинете» на адрес электронной почты, указанный Потребителем в п. 11.2 договора. Поставщик имеет право направлять по электронной почте первичные документы с любых адресов, имеющих в названии доменное имя sarenergo.ru или interrao.ru, а также с адрес</w:t>
      </w:r>
      <w:r>
        <w:rPr>
          <w:rFonts w:ascii="Liberation Serif" w:hAnsi="Liberation Serif" w:cs="Liberation Serif"/>
          <w:sz w:val="18"/>
          <w:szCs w:val="18"/>
          <w:highlight w:val="white"/>
        </w:rPr>
        <w:t xml:space="preserve">а </w:t>
      </w:r>
      <w:r>
        <w:rPr>
          <w:rFonts w:ascii="Liberation Serif" w:hAnsi="Liberation Serif" w:cs="Liberation Serif"/>
          <w:sz w:val="18"/>
          <w:szCs w:val="18"/>
          <w:highlight w:val="white"/>
        </w:rPr>
        <w:fldChar w:fldCharType="begin"/>
      </w:r>
      <w:r>
        <w:rPr>
          <w:rFonts w:ascii="Liberation Serif" w:hAnsi="Liberation Serif" w:cs="Liberation Serif"/>
          <w:sz w:val="18"/>
          <w:szCs w:val="18"/>
          <w:highlight w:val="white"/>
        </w:rPr>
        <w:instrText xml:space="preserve"> HYPERLINK "mailto:noreply@mpi.sarenergo.ru"</w:instrText>
      </w:r>
      <w:r>
        <w:rPr>
          <w:rFonts w:ascii="Liberation Serif" w:hAnsi="Liberation Serif" w:cs="Liberation Serif"/>
          <w:sz w:val="18"/>
          <w:szCs w:val="18"/>
          <w:highlight w:val="white"/>
        </w:rPr>
        <w:fldChar w:fldCharType="separate"/>
      </w:r>
      <w:r>
        <w:rPr>
          <w:rStyle w:val="1003"/>
          <w:rFonts w:ascii="Liberation Serif" w:hAnsi="Liberation Serif" w:cs="Liberation Serif"/>
          <w:sz w:val="18"/>
          <w:szCs w:val="18"/>
          <w:highlight w:val="white"/>
        </w:rPr>
        <w:t xml:space="preserve">noreply@mpi.sarenergo.ru</w:t>
      </w:r>
      <w:r>
        <w:rPr>
          <w:rFonts w:ascii="Liberation Serif" w:hAnsi="Liberation Serif" w:cs="Liberation Serif"/>
          <w:sz w:val="18"/>
          <w:szCs w:val="18"/>
          <w:highlight w:val="white"/>
        </w:rPr>
        <w:fldChar w:fldCharType="end"/>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случае, отсутствии возможности у потребителя получения информации способами, указанными в п. 6.7.1 и 6.7.2, оригиналы сч</w:t>
      </w:r>
      <w:r>
        <w:rPr>
          <w:rFonts w:ascii="Liberation Serif" w:hAnsi="Liberation Serif" w:cs="Liberation Serif"/>
          <w:sz w:val="18"/>
          <w:szCs w:val="18"/>
          <w:highlight w:val="white"/>
        </w:rPr>
        <w:t xml:space="preserve">етов (счета-фактуры), актов приема-передачи энергии на бумажном носителе, подписанные уполномоченным лицом поставщика, выдаются Потребителю по его письменному запросу в течение 5 рабочих дней и подлежат получению Потребителем в месте нахождения поставщика.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2"/>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получении Потребителем первичных до</w:t>
      </w:r>
      <w:r>
        <w:rPr>
          <w:rFonts w:ascii="Liberation Serif" w:hAnsi="Liberation Serif" w:cs="Liberation Serif"/>
          <w:sz w:val="18"/>
          <w:szCs w:val="18"/>
          <w:highlight w:val="white"/>
        </w:rPr>
        <w:t xml:space="preserve">кументов (актов приема-передачи энергии (мощности), счетов-фактур за расчетный период) одновременно в соответствие с п. 6.7.1 и п. 6.7.2. настоящего Договора приоритет имеют документы, направленные/полученные в соответствие с п. 6.7.1.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Пост</w:t>
      </w:r>
      <w:r>
        <w:rPr>
          <w:rFonts w:ascii="Liberation Serif" w:hAnsi="Liberation Serif" w:cs="Liberation Serif"/>
          <w:sz w:val="18"/>
          <w:szCs w:val="18"/>
          <w:highlight w:val="white"/>
        </w:rPr>
        <w:t xml:space="preserve">авщик в течение 5 рабочих дней со дня получении уведомления от потребителя о намерении отказаться от исполнения настоящего договора полностью или уменьшить объемы приобретаемой электрической энергии и мощности направляет потребителю счет, выставленный в со</w:t>
      </w:r>
      <w:r>
        <w:rPr>
          <w:rFonts w:ascii="Liberation Serif" w:hAnsi="Liberation Serif" w:cs="Liberation Serif"/>
          <w:sz w:val="18"/>
          <w:szCs w:val="18"/>
          <w:highlight w:val="white"/>
        </w:rPr>
        <w:t xml:space="preserve">ответствии с требованиями Основных положений функционирования розничных рынков электрической энергии. Выставленный поставщиком счет должен быть оплачен потребителем не позднее чем за 10 рабочих дней до заявленной им даты расторжения или изменения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При на</w:t>
      </w:r>
      <w:r>
        <w:rPr>
          <w:rFonts w:ascii="Liberation Serif" w:hAnsi="Liberation Serif" w:cs="Liberation Serif"/>
          <w:sz w:val="18"/>
          <w:szCs w:val="18"/>
          <w:highlight w:val="white"/>
        </w:rPr>
        <w:t xml:space="preserve">личии сумм, излишне внесенных потребителем в счет оплаты электрической энергии (мощности), поставщик направляет потребителю соответствующее извещение в течение 5 рабочих дней со дня получения уведомления о расторжении или изменении договора от потребителя.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Для осуществления окончательных расчетов за электрическую энергию (мощность) потребитель обязан обеспечить предоставление поставщику показаний приборов учета, используемых для расчетов по договору, на дату расторжения или изменения договора.</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Окончательные расчеты за</w:t>
      </w:r>
      <w:r>
        <w:rPr>
          <w:rFonts w:ascii="Liberation Serif" w:hAnsi="Liberation Serif" w:cs="Liberation Serif"/>
          <w:sz w:val="18"/>
          <w:szCs w:val="18"/>
          <w:highlight w:val="white"/>
        </w:rPr>
        <w:t xml:space="preserve"> электрическую энергию (мощность) должны быть произведены сторонами договора не позднее 5 рабочих дней после определения предельных уровней нерегулируемых цен за соответствующий расчетный период.</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Плата считается произведенной со дня зачисления денежных средств на расчётный счет поставщика, указанный в настоящем договоре или сообщённый письмом поставщика. Доказательством оплаты является представленная банком выписка из лицевого счета поставщика.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1"/>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r>
      <w:r>
        <w:rPr>
          <w:sz w:val="18"/>
          <w:szCs w:val="18"/>
          <w:highlight w:val="white"/>
        </w:rPr>
        <w:t xml:space="preserve">Стороны по мере необходимости, но не реже 1 раза в квартал, производят сверку расчетов за потребленную электрическую энер</w:t>
      </w:r>
      <w:r>
        <w:rPr>
          <w:sz w:val="18"/>
          <w:szCs w:val="18"/>
          <w:highlight w:val="white"/>
        </w:rPr>
        <w:t xml:space="preserve">гию с оформлением актов сверки в двух экземплярах. Акты сверки, в случае отсутствия разногласий, подписываются с указанием даты подписания и один экземпляр направляется инициирующей сверку стороне в срок не более 3 рабочих дней с момента его получения. Акт</w:t>
      </w:r>
      <w:r>
        <w:rPr>
          <w:sz w:val="18"/>
          <w:szCs w:val="18"/>
          <w:highlight w:val="white"/>
        </w:rPr>
        <w:t xml:space="preserve"> сверки, при наличии разногласий, в течение 14 (четырнадцати) дней с момента его получения, возвращается инициирующей сверку стороне, с приложением сопроводительного письма, с указанием причины разногласий (суммы разногласий), способом указанном в п.6.7. Договора</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6.11. </w:t>
      </w:r>
      <w:r>
        <w:rPr>
          <w:rFonts w:ascii="Liberation Serif" w:hAnsi="Liberation Serif" w:cs="Liberation Serif"/>
          <w:sz w:val="18"/>
          <w:szCs w:val="18"/>
          <w:highlight w:val="white"/>
        </w:rPr>
        <w:t xml:space="preserve">В случае, если потребитель в платёжном документе не указал назначение платежа либо указал его некорректно, сумма произведенного платежа распределяется в следующей последовательности: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задолженность потребителя по прошедшим неоплаченным плановым платежам (расчётным периодам);</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плановый платеж потребителя текущего периода;</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плановый платеж потребителя последующего периода</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неустойка за нарушение обязательств по оплате, в соответствии с условиями пункта 7.</w:t>
      </w:r>
      <w:r>
        <w:rPr>
          <w:rFonts w:ascii="Liberation Serif" w:hAnsi="Liberation Serif" w:cs="Liberation Serif"/>
          <w:sz w:val="18"/>
          <w:szCs w:val="18"/>
          <w:highlight w:val="white"/>
        </w:rPr>
        <w:t xml:space="preserve">2</w:t>
      </w:r>
      <w:r>
        <w:rPr>
          <w:rFonts w:ascii="Liberation Serif" w:hAnsi="Liberation Serif" w:cs="Liberation Serif"/>
          <w:sz w:val="18"/>
          <w:szCs w:val="18"/>
          <w:highlight w:val="white"/>
        </w:rPr>
        <w:t xml:space="preserve">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6.12.</w:t>
      </w:r>
      <w:r>
        <w:rPr>
          <w:rFonts w:ascii="Liberation Serif" w:hAnsi="Liberation Serif" w:cs="Liberation Serif"/>
          <w:sz w:val="18"/>
          <w:szCs w:val="18"/>
          <w:highlight w:val="white"/>
        </w:rPr>
        <w:t xml:space="preserve"> Стороны имеют иные права и обязанности, а также несут иную ответственность, предусмотренные Договором и законодательством РФ.</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0"/>
          <w:numId w:val="11"/>
        </w:numPr>
        <w:jc w:val="center"/>
        <w:keepNext/>
        <w:widowControl w:val="off"/>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Ответственность сторон за нарушение условий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7.1</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t xml:space="preserve"> Стороны освобождаются от ответственности за неисполнение или ненадлежащее исполнение обязательств по настоящему договору, если это неисполнение явилось следствием обстоятельств непреодолимой силы, возни</w:t>
      </w:r>
      <w:r>
        <w:rPr>
          <w:rFonts w:ascii="Liberation Serif" w:hAnsi="Liberation Serif" w:cs="Liberation Serif"/>
          <w:sz w:val="18"/>
          <w:szCs w:val="18"/>
          <w:highlight w:val="white"/>
        </w:rPr>
        <w:t xml:space="preserve">кших после заключения договора – стихийные бедствия, военные действия любого характера, действия третьих лиц, акты государственных органов власти, препятствующие выполнению условий настоящего договора. Сторона, ссылающаяся на обстоятельства непреодолимой с</w:t>
      </w:r>
      <w:r>
        <w:rPr>
          <w:rFonts w:ascii="Liberation Serif" w:hAnsi="Liberation Serif" w:cs="Liberation Serif"/>
          <w:sz w:val="18"/>
          <w:szCs w:val="18"/>
          <w:highlight w:val="white"/>
        </w:rPr>
        <w:t xml:space="preserve">илы, обязана незамедлительно информировать в письменном виде другую сторону о наступлении подобных обстоятельств. Если указанные обстоятельства длятся свыше одного месяца, стороны проводят переговоры с целью достижения приемлемого для обеих сторон решения.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7.</w:t>
      </w:r>
      <w:r>
        <w:rPr>
          <w:rFonts w:ascii="Liberation Serif" w:hAnsi="Liberation Serif" w:cs="Liberation Serif"/>
          <w:sz w:val="18"/>
          <w:szCs w:val="18"/>
          <w:highlight w:val="white"/>
        </w:rPr>
        <w:t xml:space="preserve">2.</w:t>
      </w:r>
      <w:r>
        <w:rPr>
          <w:rFonts w:ascii="Liberation Serif" w:hAnsi="Liberation Serif" w:cs="Liberation Serif"/>
          <w:sz w:val="18"/>
          <w:szCs w:val="18"/>
          <w:highlight w:val="white"/>
        </w:rPr>
        <w:t xml:space="preserve"> Потребитель несвоевременно и (или) не полностью оплативший электрическую энергию Поставщику, в том числе и</w:t>
      </w:r>
      <w:r>
        <w:rPr>
          <w:rFonts w:ascii="Liberation Serif" w:hAnsi="Liberation Serif" w:cs="Liberation Serif"/>
          <w:sz w:val="18"/>
          <w:szCs w:val="18"/>
          <w:highlight w:val="white"/>
        </w:rPr>
        <w:t xml:space="preserve"> по промежуточным платежам, предусмотренным п.6.3. настоящего договора, обязан оплатить ему пени в размере и порядке, установленном требованиями Федерального закона от 26.03.2003 № 35-ФЗ «Об электроэнергетике» и иных действующих нормативных правовых актов.</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both"/>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right="-1" w:firstLine="284"/>
        <w:jc w:val="center"/>
        <w:keepNext/>
        <w:widowControl w:val="off"/>
        <w:tabs>
          <w:tab w:val="left" w:pos="1134" w:leader="none"/>
        </w:tabs>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8. Порядок разрешения споров.</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20"/>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Во всех случаях, не предусмотренных нас</w:t>
      </w:r>
      <w:r>
        <w:rPr>
          <w:rFonts w:ascii="Liberation Serif" w:hAnsi="Liberation Serif" w:cs="Liberation Serif"/>
          <w:sz w:val="18"/>
          <w:szCs w:val="18"/>
          <w:highlight w:val="white"/>
        </w:rPr>
        <w:t xml:space="preserve">тоящим договором, стороны руководствуются действующим законодательством РФ, решениями органов исполнительной власти, уполномоченных в области государственного регулирования тарифов, другими действующими нормативными и правовыми актами Российской Федерации.</w:t>
      </w:r>
      <w:r>
        <w:rPr>
          <w:rFonts w:ascii="Liberation Serif" w:hAnsi="Liberation Serif" w:cs="Liberation Serif"/>
          <w:sz w:val="18"/>
          <w:szCs w:val="18"/>
          <w:highlight w:val="white"/>
        </w:rPr>
        <w:t xml:space="preserve"> </w:t>
      </w:r>
      <w:r>
        <w:rPr>
          <w:rFonts w:ascii="Liberation Serif" w:hAnsi="Liberation Serif" w:cs="Liberation Serif"/>
          <w:sz w:val="18"/>
          <w:szCs w:val="18"/>
          <w:highlight w:val="white"/>
        </w:rPr>
        <w:t xml:space="preserve">Споры, связанные с неисполнением или ненадлежащим исполнением настоящего договора, рассматриваются в Арбитражном суде Саратовской области.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numPr>
          <w:ilvl w:val="1"/>
          <w:numId w:val="20"/>
        </w:numPr>
        <w:ind w:left="0"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Претензионный порядок считается соблюденным по истечении пяти дней со дня направления претензии (требования) потребителю любым из следующих способов:</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а) вручение потребителю либо его представителю нарочно под расписку о вручении;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б) отправка заказным письмом на почтовый адрес потребителя, указанный в п.11.2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в) </w:t>
        <w:tab/>
        <w:t xml:space="preserve">в электронном виде с использованием телекоммуникационных каналов связи и усиленной квалифицированной электронной подписи, посредством системы электронного документооборота, в соответствии с требованиями п.6.7.1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г)</w:t>
        <w:tab/>
        <w:t xml:space="preserve">через «личный кабинет клиента» на официальном сайте поставщика www.saratovenergo.ru в информационно-телекоммуникационной сети «Интернет»;</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right="0"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д)</w:t>
        <w:tab/>
        <w:t xml:space="preserve">в сканированном виде на адрес электронной почты потребителя, указанный в п.11.2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ind w:right="0" w:firstLine="284"/>
        <w:keepNext/>
        <w:widowControl w:val="off"/>
        <w:tabs>
          <w:tab w:val="left" w:pos="993" w:leader="none"/>
        </w:tabs>
        <w:rPr>
          <w:rFonts w:ascii="Liberation Serif" w:hAnsi="Liberation Serif" w:cs="Liberation Serif"/>
          <w:sz w:val="18"/>
          <w:szCs w:val="18"/>
          <w:highlight w:val="white"/>
        </w:rPr>
      </w:pPr>
      <w:r>
        <w:rPr>
          <w:rFonts w:ascii="Liberation Serif" w:hAnsi="Liberation Serif" w:cs="Liberation Serif"/>
          <w:sz w:val="18"/>
          <w:szCs w:val="18"/>
          <w:highlight w:val="white"/>
        </w:rPr>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1017"/>
        <w:numPr>
          <w:ilvl w:val="0"/>
          <w:numId w:val="20"/>
        </w:numPr>
        <w:ind w:right="0"/>
        <w:jc w:val="center"/>
        <w:keepNext/>
        <w:widowControl w:val="off"/>
        <w:tabs>
          <w:tab w:val="left" w:pos="993" w:leader="none"/>
        </w:tabs>
        <w:rPr>
          <w:rFonts w:ascii="Liberation Serif" w:hAnsi="Liberation Serif" w:cs="Liberation Serif"/>
          <w:b/>
          <w:sz w:val="18"/>
          <w:szCs w:val="18"/>
          <w:highlight w:val="white"/>
        </w:rPr>
      </w:pPr>
      <w:r>
        <w:rPr>
          <w:rFonts w:ascii="Liberation Serif" w:hAnsi="Liberation Serif" w:cs="Liberation Serif"/>
          <w:b/>
          <w:sz w:val="18"/>
          <w:szCs w:val="18"/>
          <w:highlight w:val="white"/>
        </w:rPr>
        <w:t xml:space="preserve">Конфиденциальность.</w:t>
      </w:r>
      <w:r>
        <w:rPr>
          <w:rFonts w:ascii="Liberation Serif" w:hAnsi="Liberation Serif" w:cs="Liberation Serif"/>
          <w:b/>
          <w:sz w:val="18"/>
          <w:szCs w:val="18"/>
          <w:highlight w:val="white"/>
        </w:rPr>
      </w:r>
      <w:r>
        <w:rPr>
          <w:rFonts w:ascii="Liberation Serif" w:hAnsi="Liberation Serif" w:cs="Liberation Serif"/>
          <w:b/>
          <w:sz w:val="18"/>
          <w:szCs w:val="18"/>
          <w:highlight w:val="white"/>
        </w:rPr>
      </w:r>
    </w:p>
    <w:p>
      <w:pPr>
        <w:pStyle w:val="929"/>
        <w:numPr>
          <w:ilvl w:val="1"/>
          <w:numId w:val="20"/>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Стороны в течение срока действия настоящего договора, а также в течение 3 (трёх) лет</w:t>
      </w:r>
      <w:r>
        <w:rPr>
          <w:rFonts w:ascii="Liberation Serif" w:hAnsi="Liberation Serif" w:cs="Liberation Serif"/>
          <w:sz w:val="18"/>
          <w:szCs w:val="18"/>
          <w:highlight w:val="white"/>
        </w:rPr>
        <w:t xml:space="preserve">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Договора (в том числе персональных данных), за исключением информации и данных, явл</w:t>
      </w:r>
      <w:r>
        <w:rPr>
          <w:rFonts w:ascii="Liberation Serif" w:hAnsi="Liberation Serif" w:cs="Liberation Serif"/>
          <w:sz w:val="18"/>
          <w:szCs w:val="18"/>
          <w:highlight w:val="white"/>
        </w:rPr>
        <w:t xml:space="preserve">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20"/>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152-ФЗ от 27.07.2006 года. </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20"/>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Не является нарушением конфиденциальности предоставле</w:t>
      </w:r>
      <w:r>
        <w:rPr>
          <w:rFonts w:ascii="Liberation Serif" w:hAnsi="Liberation Serif" w:cs="Liberation Serif"/>
          <w:sz w:val="18"/>
          <w:szCs w:val="18"/>
          <w:highlight w:val="white"/>
        </w:rPr>
        <w:t xml:space="preserve">ние конфиденциальной информации по</w:t>
      </w:r>
      <w:r>
        <w:rPr>
          <w:rFonts w:ascii="Liberation Serif" w:hAnsi="Liberation Serif" w:cs="Liberation Serif"/>
          <w:sz w:val="18"/>
          <w:szCs w:val="18"/>
          <w:highlight w:val="white"/>
        </w:rPr>
        <w:t xml:space="preserve">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Договор может быть передан системообразующей территориальной сетевой организации.</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left="644" w:right="-1"/>
        <w:jc w:val="center"/>
        <w:keepNext/>
        <w:widowControl w:val="off"/>
        <w:rPr>
          <w:rFonts w:ascii="Liberation Serif" w:hAnsi="Liberation Serif" w:cs="Liberation Serif"/>
          <w:sz w:val="18"/>
          <w:szCs w:val="18"/>
          <w:highlight w:val="white"/>
        </w:rPr>
      </w:pPr>
      <w:r>
        <w:rPr>
          <w:rFonts w:ascii="Liberation Serif" w:hAnsi="Liberation Serif" w:cs="Liberation Serif"/>
          <w:b/>
          <w:sz w:val="18"/>
          <w:szCs w:val="18"/>
          <w:highlight w:val="white"/>
        </w:rPr>
        <w:t xml:space="preserve">10. Срок действия и порядок изменения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15"/>
        </w:numPr>
        <w:ind w:left="0"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Настоящий договор вступает в силу с момента его подписания с</w:t>
      </w:r>
      <w:r>
        <w:rPr>
          <w:rFonts w:ascii="Liberation Serif" w:hAnsi="Liberation Serif" w:cs="Liberation Serif"/>
          <w:sz w:val="18"/>
          <w:szCs w:val="18"/>
          <w:highlight w:val="white"/>
        </w:rPr>
        <w:t xml:space="preserve">торонами, распространяет своё действие на отношения сторон, возникшие с 00 часов 00  минут «___»_________ 202___г. и действует до 24 часов 00  минут  «___» ________ 202__г., а в части оплаты по договору, до полного исполнения обязательств Сторон.</w:t>
      </w:r>
      <w:r>
        <w:rPr>
          <w:rFonts w:ascii="Liberation Serif" w:hAnsi="Liberation Serif" w:cs="Liberation Serif"/>
          <w:sz w:val="18"/>
          <w:szCs w:val="18"/>
          <w:highlight w:val="white"/>
        </w:rPr>
        <w:t xml:space="preserve"> Исполнение обязательств поставщика по настоящему договору осуществляется</w:t>
      </w:r>
      <w:r>
        <w:rPr>
          <w:rFonts w:ascii="Liberation Serif" w:hAnsi="Liberation Serif" w:cs="Liberation Serif"/>
          <w:sz w:val="18"/>
          <w:szCs w:val="18"/>
          <w:highlight w:val="white"/>
        </w:rPr>
        <w:t xml:space="preserve"> в соответствии с действующим законо</w:t>
      </w:r>
      <w:r>
        <w:rPr>
          <w:rFonts w:ascii="Liberation Serif" w:hAnsi="Liberation Serif" w:cs="Liberation Serif"/>
          <w:sz w:val="18"/>
          <w:szCs w:val="18"/>
          <w:highlight w:val="white"/>
        </w:rPr>
        <w:t xml:space="preserve">дательством.</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Прекращение (приостановление) действия настоящего договора не освобождает стороны от обязательств по возмещению имеющейся дебиторской или кредиторской задолженности, возникшей при исполнении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numPr>
          <w:ilvl w:val="1"/>
          <w:numId w:val="6"/>
        </w:numPr>
        <w:ind w:left="0" w:right="-1" w:firstLine="284"/>
        <w:jc w:val="both"/>
        <w:keepNext/>
        <w:widowControl w:val="off"/>
        <w:rPr>
          <w:rFonts w:ascii="Liberation Serif" w:hAnsi="Liberation Serif" w:cs="Liberation Serif"/>
          <w:sz w:val="18"/>
          <w:szCs w:val="18"/>
          <w:highlight w:val="white"/>
        </w:rPr>
      </w:pPr>
      <w:r>
        <w:rPr>
          <w:rFonts w:ascii="Liberation Serif" w:hAnsi="Liberation Serif" w:cs="Liberation Serif"/>
          <w:sz w:val="18"/>
          <w:szCs w:val="18"/>
          <w:highlight w:val="white"/>
        </w:rPr>
        <w:t xml:space="preserve">Изменения условий настоящего договора и дополнения к нему производятся путём заключения дополнительных соглашений, подписанных обеими сторонами, в течение всего срока действия настоящего договора.</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center"/>
        <w:keepNext/>
        <w:spacing w:before="240"/>
        <w:widowControl w:val="off"/>
        <w:rPr>
          <w:rFonts w:ascii="Liberation Serif" w:hAnsi="Liberation Serif" w:cs="Liberation Serif"/>
          <w:sz w:val="18"/>
          <w:szCs w:val="18"/>
          <w:highlight w:val="white"/>
        </w:rPr>
        <w:outlineLvl w:val="0"/>
      </w:pPr>
      <w:r>
        <w:rPr>
          <w:rFonts w:ascii="Liberation Serif" w:hAnsi="Liberation Serif" w:cs="Liberation Serif"/>
          <w:b/>
          <w:sz w:val="18"/>
          <w:szCs w:val="18"/>
          <w:highlight w:val="white"/>
        </w:rPr>
        <w:t xml:space="preserve">Приложения к договору:</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highlight w:val="white"/>
        </w:rPr>
      </w:r>
      <w:bookmarkStart w:id="10" w:name="прил_1"/>
      <w:r>
        <w:rPr>
          <w:rFonts w:ascii="Liberation Serif" w:hAnsi="Liberation Serif" w:cs="Liberation Serif"/>
          <w:sz w:val="18"/>
          <w:szCs w:val="18"/>
          <w:highlight w:val="white"/>
        </w:rPr>
        <w:t xml:space="preserve">Приложение № 1: </w:t>
      </w:r>
      <w:bookmarkEnd w:id="10"/>
      <w:r>
        <w:rPr>
          <w:rFonts w:ascii="Liberation Serif" w:hAnsi="Liberation Serif" w:cs="Liberation Serif"/>
          <w:sz w:val="18"/>
          <w:szCs w:val="18"/>
          <w:highlight w:val="white"/>
        </w:rPr>
        <w:t xml:space="preserve">«Договорные объемы потребления электрической энергии и мощности» - </w:t>
      </w:r>
      <w:r>
        <w:rPr>
          <w:rFonts w:ascii="Liberation Serif" w:hAnsi="Liberation Serif" w:cs="Liberation Serif"/>
          <w:i/>
          <w:sz w:val="18"/>
          <w:szCs w:val="18"/>
          <w:highlight w:val="white"/>
        </w:rPr>
        <w:t xml:space="preserve">Формируется поставщиком на основании заявки потребителя;</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highlight w:val="white"/>
        </w:rPr>
      </w:r>
      <w:bookmarkStart w:id="11" w:name="прил_4"/>
      <w:r>
        <w:rPr>
          <w:rFonts w:ascii="Liberation Serif" w:hAnsi="Liberation Serif" w:cs="Liberation Serif"/>
          <w:sz w:val="18"/>
          <w:szCs w:val="18"/>
          <w:highlight w:val="white"/>
        </w:rPr>
        <w:t xml:space="preserve">Приложение № 2: «Перечень субабонентов потребителя» - </w:t>
      </w:r>
      <w:r>
        <w:rPr>
          <w:rFonts w:ascii="Liberation Serif" w:hAnsi="Liberation Serif" w:cs="Liberation Serif"/>
          <w:i/>
          <w:sz w:val="18"/>
          <w:szCs w:val="18"/>
          <w:highlight w:val="white"/>
        </w:rPr>
        <w:t xml:space="preserve">Формируется поставщиком на основании данных, предоставленных потребителем и (или) собственной информации поставщика о наличии заключенных с субабонентами договоров;</w:t>
      </w:r>
      <w:bookmarkEnd w:id="11"/>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Приложение № 3: «Адреса установки и спецификация приборов учёта потребителя» - </w:t>
      </w:r>
      <w:r>
        <w:rPr>
          <w:rFonts w:ascii="Liberation Serif" w:hAnsi="Liberation Serif" w:cs="Liberation Serif"/>
          <w:i/>
          <w:sz w:val="18"/>
          <w:szCs w:val="18"/>
          <w:highlight w:val="white"/>
        </w:rPr>
        <w:t xml:space="preserve">Формируется поставщиком на основании данных, предоставленных потребителем;</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Приложение № 4: «Акт согласования технологической и аварийной брони» - </w:t>
      </w:r>
      <w:r>
        <w:rPr>
          <w:rFonts w:ascii="Liberation Serif" w:hAnsi="Liberation Serif" w:cs="Liberation Serif"/>
          <w:i/>
          <w:sz w:val="18"/>
          <w:szCs w:val="18"/>
          <w:highlight w:val="white"/>
        </w:rPr>
        <w:t xml:space="preserve">предоставляется поставщику потребителем и оформляется с сетевой организацией потребителем самостоятельно при наличии у потребителя объектов электроснабжения ограничение режима потреблени</w:t>
      </w:r>
      <w:r>
        <w:rPr>
          <w:rFonts w:ascii="Liberation Serif" w:hAnsi="Liberation Serif" w:cs="Liberation Serif"/>
          <w:i/>
          <w:sz w:val="18"/>
          <w:szCs w:val="18"/>
          <w:highlight w:val="white"/>
        </w:rPr>
        <w:t xml:space="preserve">я электрической энергии (мощности) которого может привести к возникновению угрозы жизни и здоровью людей, экономическим, экологическим, социальным последствиям и (или) безопасности государства, к необратимому нарушению непрерывных технологических процессов</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Приложение № 5: «Перечень точек поставки электрической энергии» - </w:t>
      </w:r>
      <w:r>
        <w:rPr>
          <w:rFonts w:ascii="Liberation Serif" w:hAnsi="Liberation Serif" w:cs="Liberation Serif"/>
          <w:i/>
          <w:sz w:val="18"/>
          <w:szCs w:val="18"/>
          <w:highlight w:val="white"/>
        </w:rPr>
        <w:t xml:space="preserve">Формируется поставщиком на основании документов, предоставленных потребителем при заключении настоящего договора</w:t>
      </w:r>
      <w:r>
        <w:rPr>
          <w:rFonts w:ascii="Liberation Serif" w:hAnsi="Liberation Serif" w:cs="Liberation Serif"/>
          <w:sz w:val="18"/>
          <w:szCs w:val="18"/>
          <w:highlight w:val="white"/>
        </w:rPr>
        <w:t xml:space="preserve">;</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highlight w:val="white"/>
        </w:rPr>
        <w:outlineLvl w:val="1"/>
      </w:pPr>
      <w:r>
        <w:rPr>
          <w:rFonts w:ascii="Liberation Serif" w:hAnsi="Liberation Serif" w:cs="Liberation Serif"/>
          <w:sz w:val="18"/>
          <w:szCs w:val="18"/>
          <w:highlight w:val="white"/>
        </w:rPr>
        <w:t xml:space="preserve">Приложение № 6: «Согласие на обработку персональных данных»;</w:t>
      </w:r>
      <w:r>
        <w:rPr>
          <w:rFonts w:ascii="Liberation Serif" w:hAnsi="Liberation Serif" w:cs="Liberation Serif"/>
          <w:sz w:val="18"/>
          <w:szCs w:val="18"/>
          <w:highlight w:val="white"/>
        </w:rPr>
      </w:r>
      <w:r>
        <w:rPr>
          <w:rFonts w:ascii="Liberation Serif" w:hAnsi="Liberation Serif" w:cs="Liberation Serif"/>
          <w:sz w:val="18"/>
          <w:szCs w:val="18"/>
          <w:highlight w:val="white"/>
        </w:rPr>
      </w:r>
    </w:p>
    <w:p>
      <w:pPr>
        <w:pStyle w:val="929"/>
        <w:ind w:firstLine="284"/>
        <w:jc w:val="both"/>
        <w:keepNext/>
        <w:widowControl w:val="off"/>
        <w:rPr>
          <w:rFonts w:ascii="Liberation Serif" w:hAnsi="Liberation Serif" w:cs="Liberation Serif"/>
          <w:sz w:val="18"/>
          <w:szCs w:val="18"/>
        </w:rPr>
        <w:outlineLvl w:val="1"/>
      </w:pPr>
      <w:r>
        <w:rPr>
          <w:rFonts w:ascii="Liberation Serif" w:hAnsi="Liberation Serif" w:cs="Liberation Serif"/>
          <w:sz w:val="18"/>
          <w:szCs w:val="18"/>
        </w:rPr>
        <w:t xml:space="preserve">Приложение № 7: «Формат предоставления почасовых данных об объёмах потребления электрической энергии (мощности) за расчётный период» - </w:t>
      </w:r>
      <w:r>
        <w:rPr>
          <w:rFonts w:ascii="Liberation Serif" w:hAnsi="Liberation Serif" w:cs="Liberation Serif"/>
          <w:i/>
          <w:sz w:val="18"/>
          <w:szCs w:val="18"/>
        </w:rPr>
        <w:t xml:space="preserve">Оформляется при использовании в расчётах с 3 по 6 ЦК</w:t>
      </w:r>
      <w:r>
        <w:rPr>
          <w:rFonts w:ascii="Liberation Serif" w:hAnsi="Liberation Serif" w:cs="Liberation Serif"/>
          <w:sz w:val="18"/>
          <w:szCs w:val="18"/>
        </w:rPr>
        <w:t xml:space="preserve">;</w:t>
      </w:r>
      <w:r>
        <w:rPr>
          <w:rFonts w:ascii="Liberation Serif" w:hAnsi="Liberation Serif" w:cs="Liberation Serif"/>
          <w:sz w:val="18"/>
          <w:szCs w:val="18"/>
        </w:rPr>
      </w:r>
      <w:r>
        <w:rPr>
          <w:rFonts w:ascii="Liberation Serif" w:hAnsi="Liberation Serif" w:cs="Liberation Serif"/>
          <w:sz w:val="18"/>
          <w:szCs w:val="18"/>
        </w:rPr>
      </w:r>
    </w:p>
    <w:p>
      <w:pPr>
        <w:pStyle w:val="929"/>
        <w:ind w:firstLine="284"/>
        <w:jc w:val="both"/>
        <w:keepNext/>
        <w:widowControl w:val="off"/>
        <w:rPr>
          <w:rFonts w:ascii="Liberation Serif" w:hAnsi="Liberation Serif" w:cs="Liberation Serif"/>
          <w:sz w:val="18"/>
          <w:szCs w:val="18"/>
        </w:rPr>
        <w:outlineLvl w:val="1"/>
      </w:pPr>
      <w:r>
        <w:rPr>
          <w:rFonts w:ascii="Liberation Serif" w:hAnsi="Liberation Serif" w:cs="Liberation Serif"/>
          <w:sz w:val="18"/>
          <w:szCs w:val="18"/>
        </w:rPr>
        <w:t xml:space="preserve">Приложение № 7.1. «Формат предоставления интегральных данных об объёмах потребления электрической энергии (мощности) за расчётный период». </w:t>
      </w:r>
      <w:r>
        <w:rPr>
          <w:rFonts w:ascii="Liberation Serif" w:hAnsi="Liberation Serif" w:cs="Liberation Serif"/>
          <w:sz w:val="18"/>
          <w:szCs w:val="18"/>
        </w:rPr>
      </w:r>
      <w:r>
        <w:rPr>
          <w:rFonts w:ascii="Liberation Serif" w:hAnsi="Liberation Serif" w:cs="Liberation Serif"/>
          <w:sz w:val="18"/>
          <w:szCs w:val="18"/>
        </w:rPr>
      </w:r>
    </w:p>
    <w:p>
      <w:pPr>
        <w:pStyle w:val="929"/>
        <w:ind w:firstLine="284"/>
        <w:jc w:val="both"/>
        <w:keepNext/>
        <w:widowControl w:val="off"/>
        <w:rPr>
          <w:rFonts w:ascii="Liberation Serif" w:hAnsi="Liberation Serif" w:cs="Liberation Serif"/>
          <w:sz w:val="18"/>
          <w:szCs w:val="18"/>
        </w:rPr>
        <w:outlineLvl w:val="1"/>
      </w:pPr>
      <w:r>
        <w:rPr>
          <w:rFonts w:ascii="Liberation Serif" w:hAnsi="Liberation Serif" w:cs="Liberation Serif"/>
          <w:sz w:val="18"/>
          <w:szCs w:val="18"/>
        </w:rPr>
        <w:t xml:space="preserve">Настоящий договор с приложениями (являющимися неотъемлемой частью договора) составлен в двух экземплярах (по одному для каждой из сторон), имеющих равную юридическую силу. </w:t>
      </w:r>
      <w:r>
        <w:rPr>
          <w:rFonts w:ascii="Liberation Serif" w:hAnsi="Liberation Serif" w:cs="Liberation Serif"/>
          <w:sz w:val="18"/>
          <w:szCs w:val="18"/>
        </w:rPr>
      </w:r>
      <w:r>
        <w:rPr>
          <w:rFonts w:ascii="Liberation Serif" w:hAnsi="Liberation Serif" w:cs="Liberation Serif"/>
          <w:sz w:val="18"/>
          <w:szCs w:val="18"/>
        </w:rPr>
      </w:r>
    </w:p>
    <w:p>
      <w:pPr>
        <w:pStyle w:val="1017"/>
        <w:ind w:firstLine="284"/>
        <w:jc w:val="center"/>
        <w:keepNext/>
        <w:spacing w:before="240"/>
        <w:widowControl w:val="off"/>
        <w:rPr>
          <w:rFonts w:ascii="Liberation Serif" w:hAnsi="Liberation Serif" w:cs="Liberation Serif"/>
          <w:sz w:val="18"/>
          <w:szCs w:val="18"/>
        </w:rPr>
      </w:pPr>
      <w:r>
        <w:rPr>
          <w:rFonts w:ascii="Liberation Serif" w:hAnsi="Liberation Serif" w:cs="Liberation Serif"/>
          <w:b/>
          <w:sz w:val="18"/>
          <w:szCs w:val="18"/>
        </w:rPr>
        <w:t xml:space="preserve">11. Юридические адреса Сторон и банковские реквизиты:</w:t>
      </w:r>
      <w:r>
        <w:rPr>
          <w:rFonts w:ascii="Liberation Serif" w:hAnsi="Liberation Serif" w:cs="Liberation Serif"/>
          <w:sz w:val="18"/>
          <w:szCs w:val="18"/>
        </w:rPr>
      </w:r>
      <w:r>
        <w:rPr>
          <w:rFonts w:ascii="Liberation Serif" w:hAnsi="Liberation Serif" w:cs="Liberation Serif"/>
          <w:sz w:val="18"/>
          <w:szCs w:val="18"/>
        </w:rPr>
      </w:r>
    </w:p>
    <w:p>
      <w:pPr>
        <w:pStyle w:val="1017"/>
        <w:ind w:left="-284"/>
        <w:jc w:val="center"/>
        <w:keepNext/>
        <w:widowControl w:val="off"/>
        <w:rPr>
          <w:rFonts w:ascii="Liberation Serif" w:hAnsi="Liberation Serif" w:cs="Liberation Serif"/>
          <w:b/>
          <w:sz w:val="18"/>
          <w:szCs w:val="18"/>
        </w:rPr>
      </w:pPr>
      <w:r>
        <w:rPr>
          <w:rFonts w:ascii="Liberation Serif" w:hAnsi="Liberation Serif" w:cs="Liberation Serif"/>
          <w:b/>
          <w:sz w:val="18"/>
          <w:szCs w:val="18"/>
        </w:rPr>
      </w:r>
      <w:r>
        <w:rPr>
          <w:rFonts w:ascii="Liberation Serif" w:hAnsi="Liberation Serif" w:cs="Liberation Serif"/>
          <w:b/>
          <w:sz w:val="18"/>
          <w:szCs w:val="18"/>
        </w:rPr>
      </w:r>
      <w:r>
        <w:rPr>
          <w:rFonts w:ascii="Liberation Serif" w:hAnsi="Liberation Serif" w:cs="Liberation Serif"/>
          <w:b/>
          <w:sz w:val="18"/>
          <w:szCs w:val="1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5099"/>
        <w:gridCol w:w="4958"/>
      </w:tblGrid>
      <w:tr>
        <w:tblPrEx/>
        <w:trPr/>
        <w:tc>
          <w:tcPr>
            <w:tcBorders>
              <w:top w:val="none" w:color="000000" w:sz="0" w:space="0"/>
              <w:left w:val="none" w:color="000000" w:sz="0" w:space="0"/>
              <w:bottom w:val="none" w:color="000000" w:sz="0" w:space="0"/>
              <w:right w:val="none" w:color="000000" w:sz="0" w:space="0"/>
            </w:tcBorders>
            <w:tcW w:w="5099" w:type="dxa"/>
            <w:vAlign w:val="top"/>
            <w:textDirection w:val="lrTb"/>
            <w:noWrap w:val="false"/>
          </w:tcPr>
          <w:p>
            <w:pPr>
              <w:pStyle w:val="929"/>
              <w:ind w:right="-1"/>
              <w:jc w:val="center"/>
              <w:keepNext/>
              <w:widowControl w:val="off"/>
              <w:rPr>
                <w:rFonts w:ascii="Liberation Serif" w:hAnsi="Liberation Serif" w:cs="Liberation Serif"/>
                <w:sz w:val="18"/>
                <w:szCs w:val="18"/>
              </w:rPr>
            </w:pPr>
            <w:r>
              <w:rPr>
                <w:rFonts w:ascii="Liberation Serif" w:hAnsi="Liberation Serif" w:cs="Liberation Serif"/>
                <w:sz w:val="18"/>
                <w:szCs w:val="18"/>
              </w:rPr>
              <w:t xml:space="preserve">11.1 Поставщик ПАО «Саратовэнерго»:</w:t>
            </w:r>
            <w:r>
              <w:rPr>
                <w:rFonts w:ascii="Liberation Serif" w:hAnsi="Liberation Serif" w:cs="Liberation Serif"/>
                <w:sz w:val="18"/>
                <w:szCs w:val="18"/>
              </w:rPr>
            </w:r>
            <w:r>
              <w:rPr>
                <w:rFonts w:ascii="Liberation Serif" w:hAnsi="Liberation Serif" w:cs="Liberation Serif"/>
                <w:sz w:val="18"/>
                <w:szCs w:val="18"/>
              </w:rPr>
            </w:r>
          </w:p>
        </w:tc>
        <w:tc>
          <w:tcPr>
            <w:tcBorders>
              <w:top w:val="none" w:color="000000" w:sz="0" w:space="0"/>
              <w:left w:val="none" w:color="000000" w:sz="0" w:space="0"/>
              <w:bottom w:val="none" w:color="000000" w:sz="0" w:space="0"/>
              <w:right w:val="none" w:color="000000" w:sz="0" w:space="0"/>
            </w:tcBorders>
            <w:tcW w:w="4958" w:type="dxa"/>
            <w:vAlign w:val="top"/>
            <w:textDirection w:val="lrTb"/>
            <w:noWrap w:val="false"/>
          </w:tcPr>
          <w:p>
            <w:pPr>
              <w:pStyle w:val="929"/>
              <w:ind w:right="-1"/>
              <w:jc w:val="center"/>
              <w:keepNext/>
              <w:widowControl w:val="off"/>
              <w:rPr>
                <w:rFonts w:ascii="Liberation Serif" w:hAnsi="Liberation Serif" w:cs="Liberation Serif"/>
                <w:sz w:val="18"/>
                <w:szCs w:val="18"/>
              </w:rPr>
            </w:pPr>
            <w:r>
              <w:rPr>
                <w:rFonts w:ascii="Liberation Serif" w:hAnsi="Liberation Serif" w:cs="Liberation Serif"/>
                <w:sz w:val="18"/>
                <w:szCs w:val="18"/>
              </w:rPr>
              <w:t xml:space="preserve">11.2. Потребитель:</w:t>
            </w:r>
            <w:r>
              <w:rPr>
                <w:rFonts w:ascii="Liberation Serif" w:hAnsi="Liberation Serif" w:cs="Liberation Serif"/>
                <w:sz w:val="18"/>
                <w:szCs w:val="18"/>
              </w:rPr>
            </w:r>
            <w:r>
              <w:rPr>
                <w:rFonts w:ascii="Liberation Serif" w:hAnsi="Liberation Serif" w:cs="Liberation Serif"/>
                <w:sz w:val="18"/>
                <w:szCs w:val="18"/>
              </w:rPr>
            </w:r>
          </w:p>
        </w:tc>
      </w:tr>
      <w:tr>
        <w:tblPrEx/>
        <w:trPr>
          <w:trHeight w:val="2306"/>
        </w:trPr>
        <w:tc>
          <w:tcPr>
            <w:tcBorders>
              <w:top w:val="none" w:color="000000" w:sz="0" w:space="0"/>
              <w:left w:val="none" w:color="000000" w:sz="0" w:space="0"/>
              <w:bottom w:val="none" w:color="000000" w:sz="0" w:space="0"/>
              <w:right w:val="none" w:color="000000" w:sz="0" w:space="0"/>
            </w:tcBorders>
            <w:tcW w:w="5099" w:type="dxa"/>
            <w:vAlign w:val="top"/>
            <w:textDirection w:val="lrTb"/>
            <w:noWrap w:val="false"/>
          </w:tcPr>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ул.</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Банковские реквизиты:</w:t>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р/с</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БИК</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ИНН</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ОКВЭД</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ОКПО</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Банк:</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 официального сайта ПАО «Саратовэнерго» </w:t>
            </w:r>
            <w:r>
              <w:rPr>
                <w:rFonts w:ascii="Liberation Serif" w:hAnsi="Liberation Serif" w:cs="Liberation Serif"/>
                <w:sz w:val="18"/>
                <w:szCs w:val="18"/>
              </w:rPr>
              <w:fldChar w:fldCharType="begin"/>
            </w:r>
            <w:r>
              <w:rPr>
                <w:rFonts w:ascii="Liberation Serif" w:hAnsi="Liberation Serif" w:cs="Liberation Serif"/>
                <w:sz w:val="18"/>
                <w:szCs w:val="18"/>
              </w:rPr>
              <w:instrText xml:space="preserve"> HYPERLINK "http://www.saratovenergo.ru/"</w:instrText>
            </w:r>
            <w:r>
              <w:rPr>
                <w:rFonts w:ascii="Liberation Serif" w:hAnsi="Liberation Serif" w:cs="Liberation Serif"/>
                <w:sz w:val="18"/>
                <w:szCs w:val="18"/>
              </w:rPr>
              <w:fldChar w:fldCharType="separate"/>
            </w:r>
            <w:r>
              <w:rPr>
                <w:rStyle w:val="1003"/>
                <w:rFonts w:ascii="Liberation Serif" w:hAnsi="Liberation Serif" w:cs="Liberation Serif"/>
                <w:color w:val="000000"/>
                <w:sz w:val="18"/>
                <w:szCs w:val="18"/>
              </w:rPr>
              <w:t xml:space="preserve">http://www.saratovenergo.ru</w:t>
            </w:r>
            <w:r>
              <w:rPr>
                <w:rFonts w:ascii="Liberation Serif" w:hAnsi="Liberation Serif" w:cs="Liberation Serif"/>
                <w:sz w:val="18"/>
                <w:szCs w:val="18"/>
              </w:rPr>
              <w:fldChar w:fldCharType="end"/>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Адресная ссылка личного кабинет юридического лица (</w:t>
            </w:r>
            <w:r>
              <w:rPr>
                <w:rFonts w:ascii="Liberation Serif" w:hAnsi="Liberation Serif" w:cs="Liberation Serif"/>
                <w:sz w:val="18"/>
                <w:szCs w:val="18"/>
              </w:rPr>
              <w:fldChar w:fldCharType="begin"/>
            </w:r>
            <w:r>
              <w:rPr>
                <w:rFonts w:ascii="Liberation Serif" w:hAnsi="Liberation Serif" w:cs="Liberation Serif"/>
                <w:sz w:val="18"/>
                <w:szCs w:val="18"/>
              </w:rPr>
              <w:instrText xml:space="preserve"> HYPERLINK "https://lk.saratovenergo.ru/" \l "login"</w:instrText>
            </w:r>
            <w:r>
              <w:rPr>
                <w:rFonts w:ascii="Liberation Serif" w:hAnsi="Liberation Serif" w:cs="Liberation Serif"/>
                <w:sz w:val="18"/>
                <w:szCs w:val="18"/>
              </w:rPr>
              <w:fldChar w:fldCharType="separate"/>
            </w:r>
            <w:r>
              <w:rPr>
                <w:rStyle w:val="1003"/>
                <w:rFonts w:ascii="Liberation Serif" w:hAnsi="Liberation Serif" w:cs="Liberation Serif"/>
                <w:color w:val="000000"/>
                <w:sz w:val="18"/>
                <w:szCs w:val="18"/>
              </w:rPr>
              <w:t xml:space="preserve">https://lk.saratovenergo.ru/#login</w:t>
            </w:r>
            <w:r>
              <w:rPr>
                <w:rFonts w:ascii="Liberation Serif" w:hAnsi="Liberation Serif" w:cs="Liberation Serif"/>
                <w:sz w:val="18"/>
                <w:szCs w:val="18"/>
              </w:rPr>
              <w:fldChar w:fldCharType="end"/>
            </w:r>
            <w:r>
              <w:rPr>
                <w:rFonts w:ascii="Liberation Serif" w:hAnsi="Liberation Serif" w:cs="Liberation Serif"/>
                <w:sz w:val="18"/>
                <w:szCs w:val="18"/>
              </w:rPr>
              <w:t xml:space="preserve">)</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 электронной почты для передачи показаний</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fldChar w:fldCharType="begin"/>
            </w:r>
            <w:r>
              <w:rPr>
                <w:rFonts w:ascii="Liberation Serif" w:hAnsi="Liberation Serif" w:cs="Liberation Serif"/>
                <w:sz w:val="18"/>
                <w:szCs w:val="18"/>
              </w:rPr>
              <w:instrText xml:space="preserve"> HYPERLINK "mailto:pokazaniapuul@interrao.ru"</w:instrText>
            </w:r>
            <w:r>
              <w:rPr>
                <w:rFonts w:ascii="Liberation Serif" w:hAnsi="Liberation Serif" w:cs="Liberation Serif"/>
                <w:sz w:val="18"/>
                <w:szCs w:val="18"/>
              </w:rPr>
              <w:fldChar w:fldCharType="separate"/>
            </w:r>
            <w:r>
              <w:rPr>
                <w:rStyle w:val="1003"/>
                <w:rFonts w:ascii="Liberation Serif" w:hAnsi="Liberation Serif" w:cs="Liberation Serif"/>
                <w:color w:val="000000"/>
                <w:sz w:val="18"/>
                <w:szCs w:val="18"/>
              </w:rPr>
              <w:t xml:space="preserve">pokazaniapuul@interrao.ru</w:t>
            </w:r>
            <w:r>
              <w:rPr>
                <w:rFonts w:ascii="Liberation Serif" w:hAnsi="Liberation Serif" w:cs="Liberation Serif"/>
                <w:sz w:val="18"/>
                <w:szCs w:val="18"/>
              </w:rPr>
              <w:fldChar w:fldCharType="end"/>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 официальной почты ПАО «Саратовэнерго»</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fldChar w:fldCharType="begin"/>
            </w:r>
            <w:r>
              <w:rPr>
                <w:rFonts w:ascii="Liberation Serif" w:hAnsi="Liberation Serif" w:cs="Liberation Serif"/>
                <w:sz w:val="18"/>
                <w:szCs w:val="18"/>
              </w:rPr>
              <w:instrText xml:space="preserve"> HYPERLINK "mailto:office@sarenergo.ru"</w:instrText>
            </w:r>
            <w:r>
              <w:rPr>
                <w:rFonts w:ascii="Liberation Serif" w:hAnsi="Liberation Serif" w:cs="Liberation Serif"/>
                <w:sz w:val="18"/>
                <w:szCs w:val="18"/>
              </w:rPr>
              <w:fldChar w:fldCharType="separate"/>
            </w:r>
            <w:r>
              <w:rPr>
                <w:rStyle w:val="1003"/>
                <w:rFonts w:ascii="Liberation Serif" w:hAnsi="Liberation Serif" w:cs="Liberation Serif"/>
                <w:color w:val="000000"/>
                <w:sz w:val="18"/>
                <w:szCs w:val="18"/>
              </w:rPr>
              <w:t xml:space="preserve">office@sarenergo.ru</w:t>
            </w:r>
            <w:r>
              <w:rPr>
                <w:rFonts w:ascii="Liberation Serif" w:hAnsi="Liberation Serif" w:cs="Liberation Serif"/>
                <w:sz w:val="18"/>
                <w:szCs w:val="18"/>
              </w:rPr>
              <w:fldChar w:fldCharType="end"/>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r>
            <w:r>
              <w:rPr>
                <w:rFonts w:ascii="Liberation Serif" w:hAnsi="Liberation Serif" w:cs="Liberation Serif"/>
                <w:sz w:val="18"/>
                <w:szCs w:val="18"/>
              </w:rPr>
            </w:r>
            <w:r>
              <w:rPr>
                <w:rFonts w:ascii="Liberation Serif" w:hAnsi="Liberation Serif" w:cs="Liberation Serif"/>
                <w:sz w:val="18"/>
                <w:szCs w:val="18"/>
              </w:rPr>
            </w:r>
          </w:p>
        </w:tc>
        <w:tc>
          <w:tcPr>
            <w:tcBorders>
              <w:top w:val="none" w:color="000000" w:sz="0" w:space="0"/>
              <w:left w:val="none" w:color="000000" w:sz="0" w:space="0"/>
              <w:bottom w:val="none" w:color="000000" w:sz="0" w:space="0"/>
              <w:right w:val="none" w:color="000000" w:sz="0" w:space="0"/>
            </w:tcBorders>
            <w:tcW w:w="4958" w:type="dxa"/>
            <w:vAlign w:val="top"/>
            <w:textDirection w:val="lrTb"/>
            <w:noWrap w:val="false"/>
          </w:tcPr>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ул.</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Почтовый адрес _____________________________________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____________________________________________________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Банковские реквизиты:</w:t>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р/с</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БИК</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ИНН</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ОКВЭД</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ОКПО</w:t>
              <w:tab/>
              <w:t xml:space="preserve"> </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Банк:</w:t>
              <w:tab/>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Мобильный телефон для передачи смс-сообщений</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______________________________________________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Телефон приемной______________________________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Телефон гл.энергетика 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Телефон бухгалтерии 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t xml:space="preserve">Адрес официальной эл.почты_________________________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ind w:right="-1"/>
              <w:jc w:val="both"/>
              <w:keepNext/>
              <w:widowControl w:val="off"/>
              <w:tabs>
                <w:tab w:val="left" w:pos="4783" w:leader="underscore"/>
              </w:tabs>
              <w:rPr>
                <w:rFonts w:ascii="Liberation Serif" w:hAnsi="Liberation Serif" w:cs="Liberation Serif"/>
                <w:sz w:val="18"/>
                <w:szCs w:val="18"/>
              </w:rPr>
            </w:pPr>
            <w:r>
              <w:rPr>
                <w:rFonts w:ascii="Liberation Serif" w:hAnsi="Liberation Serif" w:cs="Liberation Serif"/>
                <w:sz w:val="18"/>
                <w:szCs w:val="18"/>
              </w:rPr>
            </w:r>
            <w:r>
              <w:rPr>
                <w:rFonts w:ascii="Liberation Serif" w:hAnsi="Liberation Serif" w:cs="Liberation Serif"/>
                <w:sz w:val="18"/>
                <w:szCs w:val="18"/>
              </w:rPr>
            </w:r>
            <w:r>
              <w:rPr>
                <w:rFonts w:ascii="Liberation Serif" w:hAnsi="Liberation Serif" w:cs="Liberation Serif"/>
                <w:sz w:val="18"/>
                <w:szCs w:val="18"/>
              </w:rPr>
            </w:r>
          </w:p>
        </w:tc>
      </w:tr>
      <w:tr>
        <w:tblPrEx/>
        <w:trPr/>
        <w:tc>
          <w:tcPr>
            <w:gridSpan w:val="2"/>
            <w:tcBorders>
              <w:top w:val="none" w:color="000000" w:sz="0" w:space="0"/>
              <w:left w:val="none" w:color="000000" w:sz="0" w:space="0"/>
              <w:bottom w:val="none" w:color="000000" w:sz="0" w:space="0"/>
              <w:right w:val="none" w:color="000000" w:sz="0" w:space="0"/>
            </w:tcBorders>
            <w:tcW w:w="10057" w:type="dxa"/>
            <w:vAlign w:val="top"/>
            <w:textDirection w:val="lrTb"/>
            <w:noWrap w:val="false"/>
          </w:tcPr>
          <w:p>
            <w:pPr>
              <w:pStyle w:val="929"/>
              <w:ind w:left="-284" w:right="-1"/>
              <w:jc w:val="center"/>
              <w:keepNext/>
              <w:widowControl w:val="off"/>
              <w:rPr>
                <w:rFonts w:ascii="Liberation Serif" w:hAnsi="Liberation Serif" w:cs="Liberation Serif"/>
                <w:sz w:val="18"/>
                <w:szCs w:val="18"/>
              </w:rPr>
            </w:pPr>
            <w:r>
              <w:rPr>
                <w:rFonts w:ascii="Liberation Serif" w:hAnsi="Liberation Serif" w:cs="Liberation Serif"/>
                <w:b/>
                <w:sz w:val="18"/>
                <w:szCs w:val="18"/>
              </w:rPr>
              <w:t xml:space="preserve">Подписи Сторон:</w:t>
            </w:r>
            <w:r>
              <w:rPr>
                <w:rFonts w:ascii="Liberation Serif" w:hAnsi="Liberation Serif" w:cs="Liberation Serif"/>
                <w:sz w:val="18"/>
                <w:szCs w:val="18"/>
              </w:rPr>
            </w:r>
            <w:r>
              <w:rPr>
                <w:rFonts w:ascii="Liberation Serif" w:hAnsi="Liberation Serif" w:cs="Liberation Serif"/>
                <w:sz w:val="18"/>
                <w:szCs w:val="18"/>
              </w:rPr>
            </w:r>
          </w:p>
          <w:p>
            <w:pPr>
              <w:pStyle w:val="929"/>
              <w:ind w:left="-284"/>
              <w:keepNext/>
              <w:widowControl w:val="off"/>
              <w:tabs>
                <w:tab w:val="left" w:pos="3968" w:leader="none"/>
              </w:tabs>
              <w:rPr>
                <w:rFonts w:ascii="Liberation Serif" w:hAnsi="Liberation Serif" w:cs="Liberation Serif"/>
                <w:sz w:val="18"/>
                <w:szCs w:val="18"/>
              </w:rPr>
            </w:pPr>
            <w:r>
              <w:rPr>
                <w:rFonts w:ascii="Liberation Serif" w:hAnsi="Liberation Serif" w:cs="Liberation Serif"/>
                <w:sz w:val="18"/>
                <w:szCs w:val="18"/>
              </w:rPr>
              <w:tab/>
            </w:r>
            <w:r>
              <w:rPr>
                <w:rFonts w:ascii="Liberation Serif" w:hAnsi="Liberation Serif" w:cs="Liberation Serif"/>
                <w:sz w:val="18"/>
                <w:szCs w:val="18"/>
              </w:rPr>
            </w:r>
            <w:r>
              <w:rPr>
                <w:rFonts w:ascii="Liberation Serif" w:hAnsi="Liberation Serif" w:cs="Liberation Serif"/>
                <w:sz w:val="18"/>
                <w:szCs w:val="18"/>
              </w:rPr>
            </w:r>
          </w:p>
        </w:tc>
      </w:tr>
    </w:tbl>
    <w:p>
      <w:pPr>
        <w:pStyle w:val="929"/>
        <w:keepNext/>
        <w:widowControl w:val="off"/>
        <w:rPr>
          <w:rFonts w:ascii="Liberation Serif" w:hAnsi="Liberation Serif" w:cs="Liberation Serif"/>
          <w:sz w:val="18"/>
          <w:szCs w:val="18"/>
        </w:rPr>
      </w:pPr>
      <w:r>
        <w:rPr>
          <w:rFonts w:ascii="Liberation Serif" w:hAnsi="Liberation Serif" w:cs="Liberation Serif"/>
          <w:b/>
          <w:sz w:val="18"/>
          <w:szCs w:val="18"/>
        </w:rPr>
        <w:t xml:space="preserve">Поставщик</w:t>
        <w:tab/>
        <w:tab/>
        <w:tab/>
        <w:tab/>
        <w:tab/>
        <w:tab/>
        <w:t xml:space="preserve">Потребитель</w:t>
      </w:r>
      <w:r>
        <w:rPr>
          <w:rFonts w:ascii="Liberation Serif" w:hAnsi="Liberation Serif" w:cs="Liberation Serif"/>
          <w:sz w:val="18"/>
          <w:szCs w:val="18"/>
        </w:rPr>
      </w:r>
      <w:r>
        <w:rPr>
          <w:rFonts w:ascii="Liberation Serif" w:hAnsi="Liberation Serif" w:cs="Liberation Serif"/>
          <w:sz w:val="18"/>
          <w:szCs w:val="18"/>
        </w:rPr>
      </w:r>
    </w:p>
    <w:p>
      <w:pPr>
        <w:pStyle w:val="929"/>
        <w:keepNext/>
        <w:widowControl w:val="off"/>
        <w:rPr>
          <w:rFonts w:ascii="Liberation Serif" w:hAnsi="Liberation Serif" w:cs="Liberation Serif"/>
          <w:b/>
          <w:sz w:val="18"/>
          <w:szCs w:val="18"/>
        </w:rPr>
      </w:pPr>
      <w:r>
        <w:rPr>
          <w:rFonts w:ascii="Liberation Serif" w:hAnsi="Liberation Serif" w:cs="Liberation Serif"/>
          <w:b/>
          <w:sz w:val="18"/>
          <w:szCs w:val="18"/>
        </w:rPr>
      </w:r>
      <w:r>
        <w:rPr>
          <w:rFonts w:ascii="Liberation Serif" w:hAnsi="Liberation Serif" w:cs="Liberation Serif"/>
          <w:b/>
          <w:sz w:val="18"/>
          <w:szCs w:val="18"/>
        </w:rPr>
      </w:r>
      <w:r>
        <w:rPr>
          <w:rFonts w:ascii="Liberation Serif" w:hAnsi="Liberation Serif" w:cs="Liberation Serif"/>
          <w:b/>
          <w:sz w:val="18"/>
          <w:szCs w:val="18"/>
        </w:rPr>
      </w:r>
    </w:p>
    <w:p>
      <w:pPr>
        <w:pStyle w:val="929"/>
        <w:keepNext/>
        <w:widowControl w:val="off"/>
        <w:rPr>
          <w:rFonts w:ascii="Liberation Serif" w:hAnsi="Liberation Serif" w:cs="Liberation Serif"/>
          <w:sz w:val="18"/>
          <w:szCs w:val="18"/>
        </w:rPr>
      </w:pPr>
      <w:r>
        <w:rPr>
          <w:rFonts w:ascii="Liberation Serif" w:hAnsi="Liberation Serif" w:cs="Liberation Serif"/>
          <w:sz w:val="18"/>
          <w:szCs w:val="18"/>
        </w:rPr>
        <w:t xml:space="preserve">_______________________/____________________</w:t>
        <w:tab/>
        <w:tab/>
        <w:t xml:space="preserve">______________________________/___________________</w:t>
      </w:r>
      <w:r>
        <w:rPr>
          <w:rFonts w:ascii="Liberation Serif" w:hAnsi="Liberation Serif" w:cs="Liberation Serif"/>
          <w:sz w:val="18"/>
          <w:szCs w:val="18"/>
        </w:rPr>
      </w:r>
      <w:r>
        <w:rPr>
          <w:rFonts w:ascii="Liberation Serif" w:hAnsi="Liberation Serif" w:cs="Liberation Serif"/>
          <w:sz w:val="18"/>
          <w:szCs w:val="18"/>
        </w:rPr>
      </w:r>
    </w:p>
    <w:p>
      <w:pPr>
        <w:pStyle w:val="929"/>
        <w:keepNext/>
        <w:widowControl w:val="off"/>
        <w:rPr>
          <w:vanish/>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2" behindDoc="0" locked="0" layoutInCell="0" allowOverlap="1">
                <wp:simplePos x="0" y="0"/>
                <wp:positionH relativeFrom="column">
                  <wp:posOffset>736600</wp:posOffset>
                </wp:positionH>
                <wp:positionV relativeFrom="paragraph">
                  <wp:posOffset>5634037</wp:posOffset>
                </wp:positionV>
                <wp:extent cx="6755130" cy="403860"/>
                <wp:effectExtent l="0" t="0" r="0" b="0"/>
                <wp:wrapNone/>
                <wp:docPr id="1" name="_x0000_s1029"/>
                <wp:cNvGraphicFramePr/>
                <a:graphic xmlns:a="http://schemas.openxmlformats.org/drawingml/2006/main">
                  <a:graphicData uri="http://schemas.microsoft.com/office/word/2010/wordprocessingShape">
                    <wps:wsp>
                      <wps:cNvPr id="0" name=""/>
                      <wps:cNvSpPr/>
                      <wps:spPr bwMode="auto">
                        <a:xfrm>
                          <a:off x="0" y="0"/>
                          <a:ext cx="6755130" cy="403860"/>
                        </a:xfrm>
                        <a:prstGeom prst="rect">
                          <a:avLst/>
                        </a:prstGeom>
                        <a:solidFill>
                          <a:srgbClr val="FFFFFF"/>
                        </a:solidFill>
                        <a:ln w="9360">
                          <a:solidFill>
                            <a:srgbClr val="FFFFFF"/>
                          </a:solidFill>
                        </a:ln>
                      </wps:spPr>
                      <wps:bodyPr rot="0">
                        <a:prstTxWarp prst="textNoShape">
                          <a:avLst/>
                        </a:prstTxWarp>
                        <a:noAutofit/>
                      </wps:bodyPr>
                    </wps:wsp>
                  </a:graphicData>
                </a:graphic>
              </wp:anchor>
            </w:drawing>
          </mc:Choice>
          <mc:Fallback>
            <w:pict>
              <v:shape id="shape 0" o:spid="_x0000_s0" o:spt="1" type="#_x0000_t1" style="position:absolute;z-index:251658242;o:allowoverlap:true;o:allowincell:false;mso-position-horizontal-relative:text;margin-left:58.00pt;mso-position-horizontal:absolute;mso-position-vertical-relative:text;margin-top:443.62pt;mso-position-vertical:absolute;width:531.90pt;height:31.80pt;mso-wrap-distance-left:9.00pt;mso-wrap-distance-top:0.00pt;mso-wrap-distance-right:9.00pt;mso-wrap-distance-bottom:0.00pt;visibility:visible;" fillcolor="#FFFFFF" strokecolor="#FFFFFF" strokeweight="0.74pt"/>
            </w:pict>
          </mc:Fallback>
        </mc:AlternateContent>
      </w:r>
      <w:r>
        <w:rPr>
          <w:rFonts w:ascii="Liberation Serif" w:hAnsi="Liberation Serif" w:cs="Liberation Serif"/>
          <w:sz w:val="18"/>
          <w:szCs w:val="18"/>
        </w:rPr>
        <w:t xml:space="preserve">м.п.</w:t>
        <w:tab/>
        <w:tab/>
        <w:tab/>
        <w:tab/>
        <w:tab/>
        <w:tab/>
        <w:tab/>
        <w:t xml:space="preserve">м.п.</w:t>
      </w: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0" allowOverlap="1">
                <wp:simplePos x="0" y="0"/>
                <wp:positionH relativeFrom="column">
                  <wp:posOffset>656590</wp:posOffset>
                </wp:positionH>
                <wp:positionV relativeFrom="paragraph">
                  <wp:posOffset>1933575</wp:posOffset>
                </wp:positionV>
                <wp:extent cx="6831330" cy="457200"/>
                <wp:effectExtent l="0" t="0" r="0" b="0"/>
                <wp:wrapNone/>
                <wp:docPr id="2" name="_x0000_s1027"/>
                <wp:cNvGraphicFramePr/>
                <a:graphic xmlns:a="http://schemas.openxmlformats.org/drawingml/2006/main">
                  <a:graphicData uri="http://schemas.microsoft.com/office/word/2010/wordprocessingShape">
                    <wps:wsp>
                      <wps:cNvPr id="0" name=""/>
                      <wps:cNvSpPr/>
                      <wps:spPr bwMode="auto">
                        <a:xfrm>
                          <a:off x="0" y="0"/>
                          <a:ext cx="6831330" cy="457200"/>
                        </a:xfrm>
                        <a:prstGeom prst="rect">
                          <a:avLst/>
                        </a:prstGeom>
                        <a:solidFill>
                          <a:srgbClr val="FFFFFF"/>
                        </a:solidFill>
                        <a:ln>
                          <a:noFill/>
                        </a:ln>
                      </wps:spPr>
                      <wps:bodyPr rot="0">
                        <a:prstTxWarp prst="textNoShape">
                          <a:avLst/>
                        </a:prstTxWarp>
                        <a:noAutofit/>
                      </wps:bodyPr>
                    </wps:wsp>
                  </a:graphicData>
                </a:graphic>
              </wp:anchor>
            </w:drawing>
          </mc:Choice>
          <mc:Fallback>
            <w:pict>
              <v:shape id="shape 1" o:spid="_x0000_s1" o:spt="1" type="#_x0000_t1" style="position:absolute;z-index:524288;o:allowoverlap:true;o:allowincell:false;mso-position-horizontal-relative:text;margin-left:51.70pt;mso-position-horizontal:absolute;mso-position-vertical-relative:text;margin-top:152.25pt;mso-position-vertical:absolute;width:537.90pt;height:36.00pt;mso-wrap-distance-left:9.00pt;mso-wrap-distance-top:0.00pt;mso-wrap-distance-right:9.00pt;mso-wrap-distance-bottom:0.00pt;visibility:visible;" fillcolor="#FFFFFF" stroked="f"/>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0" allowOverlap="1">
                <wp:simplePos x="0" y="0"/>
                <wp:positionH relativeFrom="column">
                  <wp:posOffset>736600</wp:posOffset>
                </wp:positionH>
                <wp:positionV relativeFrom="paragraph">
                  <wp:posOffset>2938145</wp:posOffset>
                </wp:positionV>
                <wp:extent cx="6523990" cy="398145"/>
                <wp:effectExtent l="0" t="0" r="0" b="0"/>
                <wp:wrapNone/>
                <wp:docPr id="3" name="_x0000_s1028"/>
                <wp:cNvGraphicFramePr/>
                <a:graphic xmlns:a="http://schemas.openxmlformats.org/drawingml/2006/main">
                  <a:graphicData uri="http://schemas.microsoft.com/office/word/2010/wordprocessingShape">
                    <wps:wsp>
                      <wps:cNvPr id="0" name=""/>
                      <wps:cNvSpPr/>
                      <wps:spPr bwMode="auto">
                        <a:xfrm>
                          <a:off x="0" y="0"/>
                          <a:ext cx="6523990" cy="398145"/>
                        </a:xfrm>
                        <a:prstGeom prst="rect">
                          <a:avLst/>
                        </a:prstGeom>
                        <a:solidFill>
                          <a:srgbClr val="FFFFFF"/>
                        </a:solidFill>
                        <a:ln w="9360">
                          <a:solidFill>
                            <a:srgbClr val="FFFFFF"/>
                          </a:solidFill>
                        </a:ln>
                      </wps:spPr>
                      <wps:bodyPr rot="0">
                        <a:prstTxWarp prst="textNoShape">
                          <a:avLst/>
                        </a:prstTxWarp>
                        <a:noAutofit/>
                      </wps:bodyPr>
                    </wps:wsp>
                  </a:graphicData>
                </a:graphic>
              </wp:anchor>
            </w:drawing>
          </mc:Choice>
          <mc:Fallback>
            <w:pict>
              <v:shape id="shape 2" o:spid="_x0000_s2" o:spt="1" type="#_x0000_t1" style="position:absolute;z-index:251658241;o:allowoverlap:true;o:allowincell:false;mso-position-horizontal-relative:text;margin-left:58.00pt;mso-position-horizontal:absolute;mso-position-vertical-relative:text;margin-top:231.35pt;mso-position-vertical:absolute;width:513.70pt;height:31.35pt;mso-wrap-distance-left:9.00pt;mso-wrap-distance-top:0.00pt;mso-wrap-distance-right:9.00pt;mso-wrap-distance-bottom:0.00pt;visibility:visible;" fillcolor="#FFFFFF" strokecolor="#FFFFFF" strokeweight="0.74pt"/>
            </w:pict>
          </mc:Fallback>
        </mc:AlternateContent>
      </w:r>
      <w:r>
        <w:rPr>
          <w:vanish/>
        </w:rPr>
      </w:r>
      <w:r>
        <w:rPr>
          <w:vanish/>
        </w:rPr>
      </w:r>
    </w:p>
    <w:sectPr>
      <w:headerReference w:type="default" r:id="rId9"/>
      <w:headerReference w:type="first" r:id="rId10"/>
      <w:footerReference w:type="default" r:id="rId11"/>
      <w:footerReference w:type="first" r:id="rId12"/>
      <w:footnotePr/>
      <w:endnotePr/>
      <w:type w:val="nextPage"/>
      <w:pgSz w:w="11906" w:h="16838" w:orient="portrait"/>
      <w:pgMar w:top="357" w:right="282" w:bottom="709" w:left="992" w:header="0" w:footer="209"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Verdana">
    <w:panose1 w:val="020B0604030504040204"/>
  </w:font>
  <w:font w:name="Tahoma">
    <w:panose1 w:val="020B0604030504040204"/>
  </w:font>
  <w:font w:name="Calibri">
    <w:panose1 w:val="020F0502020204030204"/>
  </w:font>
  <w:font w:name="Wingdings">
    <w:panose1 w:val="05010000000000000000"/>
  </w:font>
  <w:font w:name="Courier New">
    <w:panose1 w:val="02070409020205020404"/>
  </w:font>
  <w:font w:name="Times New Roman">
    <w:panose1 w:val="02020603050405020304"/>
  </w:font>
  <w:font w:name="Noto Sans Devanagari">
    <w:panose1 w:val="020B0502040504020204"/>
  </w:font>
  <w:font w:name="StarSymbol">
    <w:panose1 w:val="02000603000000000000"/>
  </w:font>
  <w:font w:name="Symbol">
    <w:panose1 w:val="05010000000000000000"/>
  </w:font>
  <w:font w:name="PT Astra Serif">
    <w:panose1 w:val="020A0603040505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6"/>
      <w:ind w:right="-1"/>
      <w:tabs>
        <w:tab w:val="clear" w:pos="8306" w:leader="none"/>
      </w:tabs>
    </w:pPr>
    <w:r>
      <w:t xml:space="preserve">стр. </w:t>
    </w:r>
    <w:r>
      <w:rPr>
        <w:rStyle w:val="1002"/>
      </w:rPr>
      <w:fldChar w:fldCharType="begin"/>
    </w:r>
    <w:r>
      <w:rPr>
        <w:rStyle w:val="1002"/>
      </w:rPr>
      <w:instrText xml:space="preserve"> PAGE </w:instrText>
    </w:r>
    <w:r>
      <w:rPr>
        <w:rStyle w:val="1002"/>
      </w:rPr>
      <w:fldChar w:fldCharType="separate"/>
    </w:r>
    <w:r>
      <w:rPr>
        <w:rStyle w:val="1002"/>
      </w:rPr>
      <w:t xml:space="preserve">2</w:t>
    </w:r>
    <w:r>
      <w:rPr>
        <w:rStyle w:val="1002"/>
      </w:rPr>
      <w:fldChar w:fldCharType="end"/>
    </w:r>
    <w:r>
      <w:rPr>
        <w:rStyle w:val="1002"/>
      </w:rPr>
      <w:t xml:space="preserve"> из </w:t>
    </w:r>
    <w:r>
      <w:rPr>
        <w:rStyle w:val="1002"/>
      </w:rPr>
      <w:fldChar w:fldCharType="begin"/>
    </w:r>
    <w:r>
      <w:rPr>
        <w:rStyle w:val="1002"/>
      </w:rPr>
      <w:instrText xml:space="preserve"> NUMPAGES \* ARABIC </w:instrText>
    </w:r>
    <w:r>
      <w:rPr>
        <w:rStyle w:val="1002"/>
      </w:rPr>
      <w:fldChar w:fldCharType="separate"/>
    </w:r>
    <w:r>
      <w:rPr>
        <w:rStyle w:val="1002"/>
      </w:rPr>
      <w:t xml:space="preserve">9</w:t>
    </w:r>
    <w:r>
      <w:rPr>
        <w:rStyle w:val="1002"/>
      </w:rPr>
      <w:fldChar w:fldCharType="end"/>
    </w:r>
    <w:r>
      <w:rPr>
        <w:rStyle w:val="1002"/>
      </w:rPr>
      <w:t xml:space="preserve">       __________________ Поставщик                                                        __________________ Потребитель</w:t>
    </w:r>
    <w:r/>
  </w:p>
  <w:p>
    <w:pPr>
      <w:pStyle w:val="1016"/>
      <w:ind w:right="-1"/>
      <w:tabs>
        <w:tab w:val="clear" w:pos="8306" w:leader="none"/>
      </w:tabs>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5"/>
      <w:ind w:right="360"/>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9"/>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4"/>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360" w:hanging="360"/>
        <w:tabs>
          <w:tab w:val="num" w:pos="0" w:leader="none"/>
        </w:tabs>
      </w:pPr>
    </w:lvl>
    <w:lvl w:ilvl="2">
      <w:start w:val="1"/>
      <w:numFmt w:val="decimal"/>
      <w:isLgl w:val="false"/>
      <w:suff w:val="tab"/>
      <w:lvlText w:val="%1.%2.%3."/>
      <w:lvlJc w:val="left"/>
      <w:pPr>
        <w:ind w:left="1288"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abstractNum w:abstractNumId="1">
    <w:multiLevelType w:val="hybridMultilevel"/>
    <w:lvl w:ilvl="0">
      <w:start w:val="2"/>
      <w:numFmt w:val="decimal"/>
      <w:isLgl w:val="false"/>
      <w:suff w:val="tab"/>
      <w:lvlText w:val="%1."/>
      <w:lvlJc w:val="left"/>
      <w:pPr>
        <w:ind w:left="432" w:hanging="432"/>
        <w:tabs>
          <w:tab w:val="num" w:pos="0" w:leader="none"/>
        </w:tabs>
      </w:pPr>
    </w:lvl>
    <w:lvl w:ilvl="1">
      <w:start w:val="3"/>
      <w:numFmt w:val="decimal"/>
      <w:isLgl w:val="false"/>
      <w:suff w:val="tab"/>
      <w:lvlText w:val="%1.%2."/>
      <w:lvlJc w:val="left"/>
      <w:pPr>
        <w:ind w:left="574" w:hanging="432"/>
        <w:tabs>
          <w:tab w:val="num" w:pos="0" w:leader="none"/>
        </w:tabs>
      </w:pPr>
    </w:lvl>
    <w:lvl w:ilvl="2">
      <w:start w:val="3"/>
      <w:numFmt w:val="decimal"/>
      <w:isLgl w:val="false"/>
      <w:suff w:val="tab"/>
      <w:lvlText w:val="%1.%2.%3."/>
      <w:lvlJc w:val="left"/>
      <w:pPr>
        <w:ind w:left="1146" w:hanging="720"/>
        <w:tabs>
          <w:tab w:val="num" w:pos="142" w:leader="none"/>
        </w:tabs>
      </w:pPr>
    </w:lvl>
    <w:lvl w:ilvl="3">
      <w:start w:val="1"/>
      <w:numFmt w:val="decimal"/>
      <w:isLgl w:val="false"/>
      <w:suff w:val="tab"/>
      <w:lvlText w:val="%1.%2.%3.%4."/>
      <w:lvlJc w:val="left"/>
      <w:pPr>
        <w:ind w:left="1146" w:hanging="720"/>
        <w:tabs>
          <w:tab w:val="num" w:pos="0" w:leader="none"/>
        </w:tabs>
      </w:pPr>
    </w:lvl>
    <w:lvl w:ilvl="4">
      <w:start w:val="1"/>
      <w:numFmt w:val="decimal"/>
      <w:isLgl w:val="false"/>
      <w:suff w:val="tab"/>
      <w:lvlText w:val="%1.%2.%3.%4.%5."/>
      <w:lvlJc w:val="left"/>
      <w:pPr>
        <w:ind w:left="1288" w:hanging="720"/>
        <w:tabs>
          <w:tab w:val="num" w:pos="0" w:leader="none"/>
        </w:tabs>
      </w:pPr>
    </w:lvl>
    <w:lvl w:ilvl="5">
      <w:start w:val="1"/>
      <w:numFmt w:val="decimal"/>
      <w:isLgl w:val="false"/>
      <w:suff w:val="tab"/>
      <w:lvlText w:val="%1.%2.%3.%4.%5.%6."/>
      <w:lvlJc w:val="left"/>
      <w:pPr>
        <w:ind w:left="1790" w:hanging="1080"/>
        <w:tabs>
          <w:tab w:val="num" w:pos="0" w:leader="none"/>
        </w:tabs>
      </w:pPr>
    </w:lvl>
    <w:lvl w:ilvl="6">
      <w:start w:val="1"/>
      <w:numFmt w:val="decimal"/>
      <w:isLgl w:val="false"/>
      <w:suff w:val="tab"/>
      <w:lvlText w:val="%1.%2.%3.%4.%5.%6.%7."/>
      <w:lvlJc w:val="left"/>
      <w:pPr>
        <w:ind w:left="1932" w:hanging="1080"/>
        <w:tabs>
          <w:tab w:val="num" w:pos="0" w:leader="none"/>
        </w:tabs>
      </w:pPr>
    </w:lvl>
    <w:lvl w:ilvl="7">
      <w:start w:val="1"/>
      <w:numFmt w:val="decimal"/>
      <w:isLgl w:val="false"/>
      <w:suff w:val="tab"/>
      <w:lvlText w:val="%1.%2.%3.%4.%5.%6.%7.%8."/>
      <w:lvlJc w:val="left"/>
      <w:pPr>
        <w:ind w:left="2434" w:hanging="1440"/>
        <w:tabs>
          <w:tab w:val="num" w:pos="0" w:leader="none"/>
        </w:tabs>
      </w:pPr>
    </w:lvl>
    <w:lvl w:ilvl="8">
      <w:start w:val="1"/>
      <w:numFmt w:val="decimal"/>
      <w:isLgl w:val="false"/>
      <w:suff w:val="tab"/>
      <w:lvlText w:val="%1.%2.%3.%4.%5.%6.%7.%8.%9."/>
      <w:lvlJc w:val="left"/>
      <w:pPr>
        <w:ind w:left="2576" w:hanging="1440"/>
        <w:tabs>
          <w:tab w:val="num" w:pos="0" w:leader="none"/>
        </w:tabs>
      </w:pPr>
    </w:lvl>
  </w:abstractNum>
  <w:abstractNum w:abstractNumId="2">
    <w:multiLevelType w:val="hybridMultilevel"/>
    <w:lvl w:ilvl="0">
      <w:start w:val="1"/>
      <w:numFmt w:val="russianLower"/>
      <w:isLgl w:val="false"/>
      <w:suff w:val="tab"/>
      <w:lvlText w:val="%1)"/>
      <w:lvlJc w:val="left"/>
      <w:pPr>
        <w:ind w:left="1288"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2"/>
      <w:numFmt w:val="decimal"/>
      <w:isLgl w:val="false"/>
      <w:suff w:val="tab"/>
      <w:lvlText w:val="%1."/>
      <w:lvlJc w:val="left"/>
      <w:pPr>
        <w:ind w:left="212" w:hanging="212"/>
        <w:tabs>
          <w:tab w:val="num" w:pos="0" w:leader="none"/>
        </w:tabs>
      </w:pPr>
    </w:lvl>
    <w:lvl w:ilvl="1">
      <w:start w:val="4"/>
      <w:numFmt w:val="decimal"/>
      <w:isLgl w:val="false"/>
      <w:suff w:val="tab"/>
      <w:lvlText w:val="%1.%2."/>
      <w:lvlJc w:val="left"/>
      <w:pPr>
        <w:ind w:left="354" w:hanging="212"/>
        <w:tabs>
          <w:tab w:val="num" w:pos="0" w:leader="none"/>
        </w:tabs>
      </w:pPr>
    </w:lvl>
    <w:lvl w:ilvl="2">
      <w:start w:val="1"/>
      <w:numFmt w:val="decimal"/>
      <w:isLgl w:val="false"/>
      <w:suff w:val="tab"/>
      <w:lvlText w:val="%1.%2.%3."/>
      <w:lvlJc w:val="left"/>
      <w:pPr>
        <w:ind w:left="856" w:hanging="572"/>
        <w:tabs>
          <w:tab w:val="num" w:pos="0" w:leader="none"/>
        </w:tabs>
      </w:pPr>
    </w:lvl>
    <w:lvl w:ilvl="3">
      <w:start w:val="1"/>
      <w:numFmt w:val="decimal"/>
      <w:isLgl w:val="false"/>
      <w:suff w:val="tab"/>
      <w:lvlText w:val="%1.%2.%3.%4."/>
      <w:lvlJc w:val="left"/>
      <w:pPr>
        <w:ind w:left="998" w:hanging="572"/>
        <w:tabs>
          <w:tab w:val="num" w:pos="0" w:leader="none"/>
        </w:tabs>
      </w:pPr>
    </w:lvl>
    <w:lvl w:ilvl="4">
      <w:start w:val="1"/>
      <w:numFmt w:val="decimal"/>
      <w:isLgl w:val="false"/>
      <w:suff w:val="tab"/>
      <w:lvlText w:val="%1.%2.%3.%4.%5."/>
      <w:lvlJc w:val="left"/>
      <w:pPr>
        <w:ind w:left="1140" w:hanging="572"/>
        <w:tabs>
          <w:tab w:val="num" w:pos="0" w:leader="none"/>
        </w:tabs>
      </w:pPr>
    </w:lvl>
    <w:lvl w:ilvl="5">
      <w:start w:val="1"/>
      <w:numFmt w:val="decimal"/>
      <w:isLgl w:val="false"/>
      <w:suff w:val="tab"/>
      <w:lvlText w:val="%1.%2.%3.%4.%5.%6."/>
      <w:lvlJc w:val="left"/>
      <w:pPr>
        <w:ind w:left="1642" w:hanging="932"/>
        <w:tabs>
          <w:tab w:val="num" w:pos="0" w:leader="none"/>
        </w:tabs>
      </w:pPr>
    </w:lvl>
    <w:lvl w:ilvl="6">
      <w:start w:val="1"/>
      <w:numFmt w:val="decimal"/>
      <w:isLgl w:val="false"/>
      <w:suff w:val="tab"/>
      <w:lvlText w:val="%1.%2.%3.%4.%5.%6.%7."/>
      <w:lvlJc w:val="left"/>
      <w:pPr>
        <w:ind w:left="1784" w:hanging="932"/>
        <w:tabs>
          <w:tab w:val="num" w:pos="0" w:leader="none"/>
        </w:tabs>
      </w:pPr>
    </w:lvl>
    <w:lvl w:ilvl="7">
      <w:start w:val="1"/>
      <w:numFmt w:val="decimal"/>
      <w:isLgl w:val="false"/>
      <w:suff w:val="tab"/>
      <w:lvlText w:val="%1.%2.%3.%4.%5.%6.%7.%8."/>
      <w:lvlJc w:val="left"/>
      <w:pPr>
        <w:ind w:left="2286" w:hanging="1292"/>
        <w:tabs>
          <w:tab w:val="num" w:pos="0" w:leader="none"/>
        </w:tabs>
      </w:pPr>
    </w:lvl>
    <w:lvl w:ilvl="8">
      <w:start w:val="1"/>
      <w:numFmt w:val="decimal"/>
      <w:isLgl w:val="false"/>
      <w:suff w:val="tab"/>
      <w:lvlText w:val="%1.%2.%3.%4.%5.%6.%7.%8.%9."/>
      <w:lvlJc w:val="left"/>
      <w:pPr>
        <w:ind w:left="2428" w:hanging="1292"/>
        <w:tabs>
          <w:tab w:val="num" w:pos="0" w:leader="none"/>
        </w:tabs>
      </w:pPr>
    </w:lvl>
  </w:abstractNum>
  <w:abstractNum w:abstractNumId="4">
    <w:multiLevelType w:val="hybridMultilevel"/>
    <w:lvl w:ilvl="0">
      <w:start w:val="6"/>
      <w:numFmt w:val="decimal"/>
      <w:isLgl w:val="false"/>
      <w:suff w:val="tab"/>
      <w:lvlText w:val="%1."/>
      <w:lvlJc w:val="left"/>
      <w:pPr>
        <w:ind w:left="360" w:hanging="360"/>
        <w:tabs>
          <w:tab w:val="num" w:pos="720" w:leader="none"/>
        </w:tabs>
      </w:pPr>
    </w:lvl>
    <w:lvl w:ilvl="1">
      <w:start w:val="2"/>
      <w:numFmt w:val="decimal"/>
      <w:isLgl w:val="false"/>
      <w:suff w:val="tab"/>
      <w:lvlText w:val="%1.%2."/>
      <w:lvlJc w:val="left"/>
      <w:pPr>
        <w:ind w:left="360" w:hanging="360"/>
        <w:tabs>
          <w:tab w:val="num" w:pos="36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080" w:hanging="1080"/>
        <w:tabs>
          <w:tab w:val="num" w:pos="108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440" w:hanging="1440"/>
        <w:tabs>
          <w:tab w:val="num" w:pos="1440" w:leader="none"/>
        </w:tabs>
      </w:pPr>
    </w:lvl>
  </w:abstractNum>
  <w:abstractNum w:abstractNumId="5">
    <w:multiLevelType w:val="hybridMultilevel"/>
    <w:lvl w:ilvl="0">
      <w:start w:val="10"/>
      <w:numFmt w:val="decimal"/>
      <w:isLgl w:val="false"/>
      <w:suff w:val="tab"/>
      <w:lvlText w:val="%1."/>
      <w:lvlJc w:val="left"/>
      <w:pPr>
        <w:ind w:left="384" w:hanging="384"/>
        <w:tabs>
          <w:tab w:val="num" w:pos="0" w:leader="none"/>
        </w:tabs>
      </w:pPr>
    </w:lvl>
    <w:lvl w:ilvl="1">
      <w:start w:val="2"/>
      <w:numFmt w:val="decimal"/>
      <w:isLgl w:val="false"/>
      <w:suff w:val="tab"/>
      <w:lvlText w:val="%1.%2."/>
      <w:lvlJc w:val="left"/>
      <w:pPr>
        <w:ind w:left="384" w:hanging="384"/>
        <w:tabs>
          <w:tab w:val="num" w:pos="0" w:leader="none"/>
        </w:tabs>
      </w:pPr>
    </w:lvl>
    <w:lvl w:ilvl="2">
      <w:start w:val="1"/>
      <w:numFmt w:val="decimal"/>
      <w:isLgl w:val="false"/>
      <w:suff w:val="tab"/>
      <w:lvlText w:val="%1.%2.%3."/>
      <w:lvlJc w:val="left"/>
      <w:pPr>
        <w:ind w:left="720" w:hanging="720"/>
        <w:tabs>
          <w:tab w:val="num" w:pos="0" w:leader="none"/>
        </w:tabs>
      </w:pPr>
    </w:lvl>
    <w:lvl w:ilvl="3">
      <w:start w:val="1"/>
      <w:numFmt w:val="decimal"/>
      <w:isLgl w:val="false"/>
      <w:suff w:val="tab"/>
      <w:lvlText w:val="%1.%2.%3.%4."/>
      <w:lvlJc w:val="left"/>
      <w:pPr>
        <w:ind w:left="720" w:hanging="720"/>
        <w:tabs>
          <w:tab w:val="num" w:pos="0" w:leader="none"/>
        </w:tabs>
      </w:pPr>
    </w:lvl>
    <w:lvl w:ilvl="4">
      <w:start w:val="1"/>
      <w:numFmt w:val="decimal"/>
      <w:isLgl w:val="false"/>
      <w:suff w:val="tab"/>
      <w:lvlText w:val="%1.%2.%3.%4.%5."/>
      <w:lvlJc w:val="left"/>
      <w:pPr>
        <w:ind w:left="720" w:hanging="720"/>
        <w:tabs>
          <w:tab w:val="num" w:pos="0" w:leader="none"/>
        </w:tabs>
      </w:pPr>
    </w:lvl>
    <w:lvl w:ilvl="5">
      <w:start w:val="1"/>
      <w:numFmt w:val="decimal"/>
      <w:isLgl w:val="false"/>
      <w:suff w:val="tab"/>
      <w:lvlText w:val="%1.%2.%3.%4.%5.%6."/>
      <w:lvlJc w:val="left"/>
      <w:pPr>
        <w:ind w:left="1080" w:hanging="1080"/>
        <w:tabs>
          <w:tab w:val="num" w:pos="0" w:leader="none"/>
        </w:tabs>
      </w:pPr>
    </w:lvl>
    <w:lvl w:ilvl="6">
      <w:start w:val="1"/>
      <w:numFmt w:val="decimal"/>
      <w:isLgl w:val="false"/>
      <w:suff w:val="tab"/>
      <w:lvlText w:val="%1.%2.%3.%4.%5.%6.%7."/>
      <w:lvlJc w:val="left"/>
      <w:pPr>
        <w:ind w:left="1080" w:hanging="1080"/>
        <w:tabs>
          <w:tab w:val="num" w:pos="0" w:leader="none"/>
        </w:tabs>
      </w:pPr>
    </w:lvl>
    <w:lvl w:ilvl="7">
      <w:start w:val="1"/>
      <w:numFmt w:val="decimal"/>
      <w:isLgl w:val="false"/>
      <w:suff w:val="tab"/>
      <w:lvlText w:val="%1.%2.%3.%4.%5.%6.%7.%8."/>
      <w:lvlJc w:val="left"/>
      <w:pPr>
        <w:ind w:left="1440" w:hanging="1440"/>
        <w:tabs>
          <w:tab w:val="num" w:pos="0" w:leader="none"/>
        </w:tabs>
      </w:pPr>
    </w:lvl>
    <w:lvl w:ilvl="8">
      <w:start w:val="1"/>
      <w:numFmt w:val="decimal"/>
      <w:isLgl w:val="false"/>
      <w:suff w:val="tab"/>
      <w:lvlText w:val="%1.%2.%3.%4.%5.%6.%7.%8.%9."/>
      <w:lvlJc w:val="left"/>
      <w:pPr>
        <w:ind w:left="1440" w:hanging="1440"/>
        <w:tabs>
          <w:tab w:val="num" w:pos="0" w:leader="none"/>
        </w:tabs>
      </w:pPr>
    </w:lvl>
  </w:abstractNum>
  <w:abstractNum w:abstractNumId="6">
    <w:multiLevelType w:val="hybridMultilevel"/>
    <w:lvl w:ilvl="0">
      <w:start w:val="1"/>
      <w:numFmt w:val="bullet"/>
      <w:isLgl w:val="false"/>
      <w:suff w:val="tab"/>
      <w:lvlText w:val=""/>
      <w:lvlJc w:val="left"/>
      <w:pPr>
        <w:ind w:left="1004"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decimal"/>
      <w:isLgl w:val="false"/>
      <w:suff w:val="tab"/>
      <w:lvlText w:val="%1."/>
      <w:lvlJc w:val="left"/>
      <w:pPr>
        <w:ind w:left="720" w:hanging="360"/>
        <w:tabs>
          <w:tab w:val="num" w:pos="72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2"/>
      <w:numFmt w:val="decimal"/>
      <w:isLgl w:val="false"/>
      <w:suff w:val="tab"/>
      <w:lvlText w:val="%1"/>
      <w:lvlJc w:val="left"/>
      <w:pPr>
        <w:ind w:left="384" w:hanging="384"/>
        <w:tabs>
          <w:tab w:val="num" w:pos="0" w:leader="none"/>
        </w:tabs>
      </w:pPr>
    </w:lvl>
    <w:lvl w:ilvl="1">
      <w:start w:val="1"/>
      <w:numFmt w:val="decimal"/>
      <w:isLgl w:val="false"/>
      <w:suff w:val="tab"/>
      <w:lvlText w:val="%1.%2"/>
      <w:lvlJc w:val="left"/>
      <w:pPr>
        <w:ind w:left="526" w:hanging="384"/>
        <w:tabs>
          <w:tab w:val="num" w:pos="0" w:leader="none"/>
        </w:tabs>
      </w:pPr>
    </w:lvl>
    <w:lvl w:ilvl="2">
      <w:start w:val="1"/>
      <w:numFmt w:val="decimal"/>
      <w:isLgl w:val="false"/>
      <w:suff w:val="tab"/>
      <w:lvlText w:val="%1.%2.%3"/>
      <w:lvlJc w:val="left"/>
      <w:pPr>
        <w:ind w:left="1004" w:hanging="720"/>
        <w:tabs>
          <w:tab w:val="num" w:pos="0" w:leader="none"/>
        </w:tabs>
      </w:pPr>
    </w:lvl>
    <w:lvl w:ilvl="3">
      <w:start w:val="1"/>
      <w:numFmt w:val="decimal"/>
      <w:isLgl w:val="false"/>
      <w:suff w:val="tab"/>
      <w:lvlText w:val="%1.%2.%3.%4"/>
      <w:lvlJc w:val="left"/>
      <w:pPr>
        <w:ind w:left="1146" w:hanging="720"/>
        <w:tabs>
          <w:tab w:val="num" w:pos="0" w:leader="none"/>
        </w:tabs>
      </w:pPr>
    </w:lvl>
    <w:lvl w:ilvl="4">
      <w:start w:val="1"/>
      <w:numFmt w:val="decimal"/>
      <w:isLgl w:val="false"/>
      <w:suff w:val="tab"/>
      <w:lvlText w:val="%1.%2.%3.%4.%5"/>
      <w:lvlJc w:val="left"/>
      <w:pPr>
        <w:ind w:left="1288" w:hanging="720"/>
        <w:tabs>
          <w:tab w:val="num" w:pos="0" w:leader="none"/>
        </w:tabs>
      </w:pPr>
    </w:lvl>
    <w:lvl w:ilvl="5">
      <w:start w:val="1"/>
      <w:numFmt w:val="decimal"/>
      <w:isLgl w:val="false"/>
      <w:suff w:val="tab"/>
      <w:lvlText w:val="%1.%2.%3.%4.%5.%6"/>
      <w:lvlJc w:val="left"/>
      <w:pPr>
        <w:ind w:left="1790" w:hanging="1080"/>
        <w:tabs>
          <w:tab w:val="num" w:pos="0" w:leader="none"/>
        </w:tabs>
      </w:pPr>
    </w:lvl>
    <w:lvl w:ilvl="6">
      <w:start w:val="1"/>
      <w:numFmt w:val="decimal"/>
      <w:isLgl w:val="false"/>
      <w:suff w:val="tab"/>
      <w:lvlText w:val="%1.%2.%3.%4.%5.%6.%7"/>
      <w:lvlJc w:val="left"/>
      <w:pPr>
        <w:ind w:left="1932" w:hanging="1080"/>
        <w:tabs>
          <w:tab w:val="num" w:pos="0" w:leader="none"/>
        </w:tabs>
      </w:pPr>
    </w:lvl>
    <w:lvl w:ilvl="7">
      <w:start w:val="1"/>
      <w:numFmt w:val="decimal"/>
      <w:isLgl w:val="false"/>
      <w:suff w:val="tab"/>
      <w:lvlText w:val="%1.%2.%3.%4.%5.%6.%7.%8"/>
      <w:lvlJc w:val="left"/>
      <w:pPr>
        <w:ind w:left="2434" w:hanging="1440"/>
        <w:tabs>
          <w:tab w:val="num" w:pos="0" w:leader="none"/>
        </w:tabs>
      </w:pPr>
    </w:lvl>
    <w:lvl w:ilvl="8">
      <w:start w:val="1"/>
      <w:numFmt w:val="decimal"/>
      <w:isLgl w:val="false"/>
      <w:suff w:val="tab"/>
      <w:lvlText w:val="%1.%2.%3.%4.%5.%6.%7.%8.%9"/>
      <w:lvlJc w:val="left"/>
      <w:pPr>
        <w:ind w:left="2576" w:hanging="1440"/>
        <w:tabs>
          <w:tab w:val="num" w:pos="0" w:leader="none"/>
        </w:tabs>
      </w:pPr>
    </w:lvl>
  </w:abstractNum>
  <w:abstractNum w:abstractNumId="9">
    <w:multiLevelType w:val="hybridMultilevel"/>
    <w:lvl w:ilvl="0">
      <w:start w:val="1"/>
      <w:numFmt w:val="russianLower"/>
      <w:isLgl w:val="false"/>
      <w:suff w:val="tab"/>
      <w:lvlText w:val="%1)"/>
      <w:lvlJc w:val="left"/>
      <w:pPr>
        <w:ind w:left="1288" w:hanging="360"/>
        <w:tabs>
          <w:tab w:val="num" w:pos="0" w:leader="none"/>
        </w:tabs>
      </w:pPr>
      <w:rPr>
        <w:i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6"/>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644" w:hanging="360"/>
        <w:tabs>
          <w:tab w:val="num" w:pos="0" w:leader="none"/>
        </w:tabs>
      </w:pPr>
    </w:lvl>
    <w:lvl w:ilvl="2">
      <w:start w:val="1"/>
      <w:numFmt w:val="decimal"/>
      <w:isLgl w:val="false"/>
      <w:suff w:val="tab"/>
      <w:lvlText w:val="%1.%2.%3."/>
      <w:lvlJc w:val="left"/>
      <w:pPr>
        <w:ind w:left="1004"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abstractNum w:abstractNumId="11">
    <w:multiLevelType w:val="hybridMultilevel"/>
    <w:lvl w:ilvl="0">
      <w:start w:val="1"/>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644" w:hanging="360"/>
        <w:tabs>
          <w:tab w:val="num" w:pos="0" w:leader="none"/>
        </w:tabs>
      </w:pPr>
    </w:lvl>
    <w:lvl w:ilvl="2">
      <w:start w:val="1"/>
      <w:numFmt w:val="decimal"/>
      <w:isLgl w:val="false"/>
      <w:suff w:val="tab"/>
      <w:lvlText w:val="%1.%2.%3."/>
      <w:lvlJc w:val="left"/>
      <w:pPr>
        <w:ind w:left="1288"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abstractNum w:abstractNumId="12">
    <w:multiLevelType w:val="hybridMultilevel"/>
    <w:lvl w:ilvl="0">
      <w:start w:val="1"/>
      <w:numFmt w:val="thaiNumbers"/>
      <w:isLgl w:val="false"/>
      <w:suff w:val="tab"/>
      <w:lvlText w:val="%1)"/>
      <w:lvlJc w:val="left"/>
      <w:pPr>
        <w:ind w:left="1288"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thaiNumbers"/>
      <w:isLgl w:val="false"/>
      <w:suff w:val="tab"/>
      <w:lvlText w:val="%1)"/>
      <w:lvlJc w:val="left"/>
      <w:pPr>
        <w:ind w:left="360" w:hanging="360"/>
        <w:tabs>
          <w:tab w:val="num" w:pos="-928"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0"/>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644" w:hanging="360"/>
        <w:tabs>
          <w:tab w:val="num" w:pos="0" w:leader="none"/>
        </w:tabs>
      </w:pPr>
    </w:lvl>
    <w:lvl w:ilvl="2">
      <w:start w:val="1"/>
      <w:numFmt w:val="decimal"/>
      <w:isLgl w:val="false"/>
      <w:suff w:val="tab"/>
      <w:lvlText w:val="%1.%2.%3"/>
      <w:lvlJc w:val="left"/>
      <w:pPr>
        <w:ind w:left="1288"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abstractNum w:abstractNumId="15">
    <w:multiLevelType w:val="hybridMultilevel"/>
    <w:lvl w:ilvl="0">
      <w:start w:val="1"/>
      <w:numFmt w:val="russianLower"/>
      <w:isLgl w:val="false"/>
      <w:suff w:val="tab"/>
      <w:lvlText w:val="%1)"/>
      <w:lvlJc w:val="left"/>
      <w:pPr>
        <w:ind w:left="502" w:hanging="360"/>
        <w:tabs>
          <w:tab w:val="num" w:pos="-78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5"/>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360" w:hanging="360"/>
        <w:tabs>
          <w:tab w:val="num" w:pos="0" w:leader="none"/>
        </w:tabs>
      </w:pPr>
    </w:lvl>
    <w:lvl w:ilvl="2">
      <w:start w:val="1"/>
      <w:numFmt w:val="decimal"/>
      <w:isLgl w:val="false"/>
      <w:suff w:val="tab"/>
      <w:lvlText w:val="%1.%2.%3."/>
      <w:lvlJc w:val="left"/>
      <w:pPr>
        <w:ind w:left="720" w:hanging="720"/>
        <w:tabs>
          <w:tab w:val="num" w:pos="0" w:leader="none"/>
        </w:tabs>
      </w:pPr>
    </w:lvl>
    <w:lvl w:ilvl="3">
      <w:start w:val="1"/>
      <w:numFmt w:val="decimal"/>
      <w:isLgl w:val="false"/>
      <w:suff w:val="tab"/>
      <w:lvlText w:val="%1.%2.%3.%4."/>
      <w:lvlJc w:val="left"/>
      <w:pPr>
        <w:ind w:left="720" w:hanging="720"/>
        <w:tabs>
          <w:tab w:val="num" w:pos="0" w:leader="none"/>
        </w:tabs>
      </w:pPr>
    </w:lvl>
    <w:lvl w:ilvl="4">
      <w:start w:val="1"/>
      <w:numFmt w:val="decimal"/>
      <w:isLgl w:val="false"/>
      <w:suff w:val="tab"/>
      <w:lvlText w:val="%1.%2.%3.%4.%5."/>
      <w:lvlJc w:val="left"/>
      <w:pPr>
        <w:ind w:left="720" w:hanging="720"/>
        <w:tabs>
          <w:tab w:val="num" w:pos="0" w:leader="none"/>
        </w:tabs>
      </w:pPr>
    </w:lvl>
    <w:lvl w:ilvl="5">
      <w:start w:val="1"/>
      <w:numFmt w:val="decimal"/>
      <w:isLgl w:val="false"/>
      <w:suff w:val="tab"/>
      <w:lvlText w:val="%1.%2.%3.%4.%5.%6."/>
      <w:lvlJc w:val="left"/>
      <w:pPr>
        <w:ind w:left="1080" w:hanging="1080"/>
        <w:tabs>
          <w:tab w:val="num" w:pos="0" w:leader="none"/>
        </w:tabs>
      </w:pPr>
    </w:lvl>
    <w:lvl w:ilvl="6">
      <w:start w:val="1"/>
      <w:numFmt w:val="decimal"/>
      <w:isLgl w:val="false"/>
      <w:suff w:val="tab"/>
      <w:lvlText w:val="%1.%2.%3.%4.%5.%6.%7."/>
      <w:lvlJc w:val="left"/>
      <w:pPr>
        <w:ind w:left="1080" w:hanging="1080"/>
        <w:tabs>
          <w:tab w:val="num" w:pos="0" w:leader="none"/>
        </w:tabs>
      </w:pPr>
    </w:lvl>
    <w:lvl w:ilvl="7">
      <w:start w:val="1"/>
      <w:numFmt w:val="decimal"/>
      <w:isLgl w:val="false"/>
      <w:suff w:val="tab"/>
      <w:lvlText w:val="%1.%2.%3.%4.%5.%6.%7.%8."/>
      <w:lvlJc w:val="left"/>
      <w:pPr>
        <w:ind w:left="1440" w:hanging="1440"/>
        <w:tabs>
          <w:tab w:val="num" w:pos="0" w:leader="none"/>
        </w:tabs>
      </w:pPr>
    </w:lvl>
    <w:lvl w:ilvl="8">
      <w:start w:val="1"/>
      <w:numFmt w:val="decimal"/>
      <w:isLgl w:val="false"/>
      <w:suff w:val="tab"/>
      <w:lvlText w:val="%1.%2.%3.%4.%5.%6.%7.%8.%9."/>
      <w:lvlJc w:val="left"/>
      <w:pPr>
        <w:ind w:left="1440" w:hanging="1440"/>
        <w:tabs>
          <w:tab w:val="num" w:pos="0" w:leader="none"/>
        </w:tabs>
      </w:pPr>
    </w:lvl>
  </w:abstractNum>
  <w:abstractNum w:abstractNumId="17">
    <w:multiLevelType w:val="hybridMultilevel"/>
    <w:lvl w:ilvl="0">
      <w:start w:val="1"/>
      <w:numFmt w:val="russianLower"/>
      <w:isLgl w:val="false"/>
      <w:suff w:val="tab"/>
      <w:lvlText w:val="%1)"/>
      <w:lvlJc w:val="left"/>
      <w:pPr>
        <w:ind w:left="1288" w:hanging="360"/>
        <w:tabs>
          <w:tab w:val="num" w:pos="0" w:leader="none"/>
        </w:tabs>
      </w:pPr>
      <w:rPr>
        <w:i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8">
    <w:multiLevelType w:val="hybridMultilevel"/>
    <w:lvl w:ilvl="0">
      <w:start w:val="3"/>
      <w:numFmt w:val="decimal"/>
      <w:isLgl w:val="false"/>
      <w:suff w:val="tab"/>
      <w:lvlText w:val="%1."/>
      <w:lvlJc w:val="left"/>
      <w:pPr>
        <w:ind w:left="360" w:hanging="360"/>
        <w:tabs>
          <w:tab w:val="num" w:pos="0" w:leader="none"/>
        </w:tabs>
      </w:pPr>
    </w:lvl>
    <w:lvl w:ilvl="1">
      <w:start w:val="7"/>
      <w:numFmt w:val="decimal"/>
      <w:isLgl w:val="false"/>
      <w:suff w:val="tab"/>
      <w:lvlText w:val="%1.%2."/>
      <w:lvlJc w:val="left"/>
      <w:pPr>
        <w:ind w:left="644" w:hanging="360"/>
        <w:tabs>
          <w:tab w:val="num" w:pos="0" w:leader="none"/>
        </w:tabs>
      </w:pPr>
    </w:lvl>
    <w:lvl w:ilvl="2">
      <w:start w:val="1"/>
      <w:numFmt w:val="decimal"/>
      <w:isLgl w:val="false"/>
      <w:suff w:val="tab"/>
      <w:lvlText w:val="%1.%2.%3."/>
      <w:lvlJc w:val="left"/>
      <w:pPr>
        <w:ind w:left="1288"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abstractNum w:abstractNumId="19">
    <w:multiLevelType w:val="hybridMultilevel"/>
    <w:lvl w:ilvl="0">
      <w:start w:val="8"/>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360" w:hanging="360"/>
        <w:tabs>
          <w:tab w:val="num" w:pos="0" w:leader="none"/>
        </w:tabs>
      </w:pPr>
    </w:lvl>
    <w:lvl w:ilvl="2">
      <w:start w:val="1"/>
      <w:numFmt w:val="decimal"/>
      <w:isLgl w:val="false"/>
      <w:suff w:val="tab"/>
      <w:lvlText w:val="%1.%2.%3."/>
      <w:lvlJc w:val="left"/>
      <w:pPr>
        <w:ind w:left="720" w:hanging="720"/>
        <w:tabs>
          <w:tab w:val="num" w:pos="0" w:leader="none"/>
        </w:tabs>
      </w:pPr>
    </w:lvl>
    <w:lvl w:ilvl="3">
      <w:start w:val="1"/>
      <w:numFmt w:val="decimal"/>
      <w:isLgl w:val="false"/>
      <w:suff w:val="tab"/>
      <w:lvlText w:val="%1.%2.%3.%4."/>
      <w:lvlJc w:val="left"/>
      <w:pPr>
        <w:ind w:left="720" w:hanging="720"/>
        <w:tabs>
          <w:tab w:val="num" w:pos="0" w:leader="none"/>
        </w:tabs>
      </w:pPr>
    </w:lvl>
    <w:lvl w:ilvl="4">
      <w:start w:val="1"/>
      <w:numFmt w:val="decimal"/>
      <w:isLgl w:val="false"/>
      <w:suff w:val="tab"/>
      <w:lvlText w:val="%1.%2.%3.%4.%5."/>
      <w:lvlJc w:val="left"/>
      <w:pPr>
        <w:ind w:left="720" w:hanging="720"/>
        <w:tabs>
          <w:tab w:val="num" w:pos="0" w:leader="none"/>
        </w:tabs>
      </w:pPr>
    </w:lvl>
    <w:lvl w:ilvl="5">
      <w:start w:val="1"/>
      <w:numFmt w:val="decimal"/>
      <w:isLgl w:val="false"/>
      <w:suff w:val="tab"/>
      <w:lvlText w:val="%1.%2.%3.%4.%5.%6."/>
      <w:lvlJc w:val="left"/>
      <w:pPr>
        <w:ind w:left="1080" w:hanging="1080"/>
        <w:tabs>
          <w:tab w:val="num" w:pos="0" w:leader="none"/>
        </w:tabs>
      </w:pPr>
    </w:lvl>
    <w:lvl w:ilvl="6">
      <w:start w:val="1"/>
      <w:numFmt w:val="decimal"/>
      <w:isLgl w:val="false"/>
      <w:suff w:val="tab"/>
      <w:lvlText w:val="%1.%2.%3.%4.%5.%6.%7."/>
      <w:lvlJc w:val="left"/>
      <w:pPr>
        <w:ind w:left="1080" w:hanging="1080"/>
        <w:tabs>
          <w:tab w:val="num" w:pos="0" w:leader="none"/>
        </w:tabs>
      </w:pPr>
    </w:lvl>
    <w:lvl w:ilvl="7">
      <w:start w:val="1"/>
      <w:numFmt w:val="decimal"/>
      <w:isLgl w:val="false"/>
      <w:suff w:val="tab"/>
      <w:lvlText w:val="%1.%2.%3.%4.%5.%6.%7.%8."/>
      <w:lvlJc w:val="left"/>
      <w:pPr>
        <w:ind w:left="1440" w:hanging="1440"/>
        <w:tabs>
          <w:tab w:val="num" w:pos="0" w:leader="none"/>
        </w:tabs>
      </w:pPr>
    </w:lvl>
    <w:lvl w:ilvl="8">
      <w:start w:val="1"/>
      <w:numFmt w:val="decimal"/>
      <w:isLgl w:val="false"/>
      <w:suff w:val="tab"/>
      <w:lvlText w:val="%1.%2.%3.%4.%5.%6.%7.%8.%9."/>
      <w:lvlJc w:val="left"/>
      <w:pPr>
        <w:ind w:left="1440" w:hanging="1440"/>
        <w:tabs>
          <w:tab w:val="num" w:pos="0" w:leader="none"/>
        </w:tabs>
      </w:pPr>
    </w:lvl>
  </w:abstractNum>
  <w:abstractNum w:abstractNumId="20">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21">
    <w:multiLevelType w:val="hybridMultilevel"/>
    <w:lvl w:ilvl="0">
      <w:start w:val="2"/>
      <w:numFmt w:val="decimal"/>
      <w:isLgl w:val="false"/>
      <w:suff w:val="tab"/>
      <w:lvlText w:val="%1."/>
      <w:lvlJc w:val="left"/>
      <w:pPr>
        <w:ind w:left="432" w:hanging="432"/>
        <w:tabs>
          <w:tab w:val="num" w:pos="0" w:leader="none"/>
        </w:tabs>
      </w:pPr>
    </w:lvl>
    <w:lvl w:ilvl="1">
      <w:start w:val="3"/>
      <w:numFmt w:val="decimal"/>
      <w:isLgl w:val="false"/>
      <w:suff w:val="tab"/>
      <w:lvlText w:val="%1.%2."/>
      <w:lvlJc w:val="left"/>
      <w:pPr>
        <w:ind w:left="574" w:hanging="432"/>
        <w:tabs>
          <w:tab w:val="num" w:pos="0" w:leader="none"/>
        </w:tabs>
      </w:pPr>
    </w:lvl>
    <w:lvl w:ilvl="2">
      <w:start w:val="3"/>
      <w:numFmt w:val="decimal"/>
      <w:isLgl w:val="false"/>
      <w:suff w:val="tab"/>
      <w:lvlText w:val="%1.%2.%3."/>
      <w:lvlJc w:val="left"/>
      <w:pPr>
        <w:ind w:left="1004" w:hanging="720"/>
        <w:tabs>
          <w:tab w:val="num" w:pos="0" w:leader="none"/>
        </w:tabs>
      </w:pPr>
    </w:lvl>
    <w:lvl w:ilvl="3">
      <w:start w:val="1"/>
      <w:numFmt w:val="decimal"/>
      <w:isLgl w:val="false"/>
      <w:suff w:val="tab"/>
      <w:lvlText w:val="%1.%2.%3.%4."/>
      <w:lvlJc w:val="left"/>
      <w:pPr>
        <w:ind w:left="1146" w:hanging="720"/>
        <w:tabs>
          <w:tab w:val="num" w:pos="0" w:leader="none"/>
        </w:tabs>
      </w:pPr>
    </w:lvl>
    <w:lvl w:ilvl="4">
      <w:start w:val="1"/>
      <w:numFmt w:val="decimal"/>
      <w:isLgl w:val="false"/>
      <w:suff w:val="tab"/>
      <w:lvlText w:val="%1.%2.%3.%4.%5."/>
      <w:lvlJc w:val="left"/>
      <w:pPr>
        <w:ind w:left="1288" w:hanging="720"/>
        <w:tabs>
          <w:tab w:val="num" w:pos="0" w:leader="none"/>
        </w:tabs>
      </w:pPr>
    </w:lvl>
    <w:lvl w:ilvl="5">
      <w:start w:val="1"/>
      <w:numFmt w:val="decimal"/>
      <w:isLgl w:val="false"/>
      <w:suff w:val="tab"/>
      <w:lvlText w:val="%1.%2.%3.%4.%5.%6."/>
      <w:lvlJc w:val="left"/>
      <w:pPr>
        <w:ind w:left="1790" w:hanging="1080"/>
        <w:tabs>
          <w:tab w:val="num" w:pos="0" w:leader="none"/>
        </w:tabs>
      </w:pPr>
    </w:lvl>
    <w:lvl w:ilvl="6">
      <w:start w:val="1"/>
      <w:numFmt w:val="decimal"/>
      <w:isLgl w:val="false"/>
      <w:suff w:val="tab"/>
      <w:lvlText w:val="%1.%2.%3.%4.%5.%6.%7."/>
      <w:lvlJc w:val="left"/>
      <w:pPr>
        <w:ind w:left="1932" w:hanging="1080"/>
        <w:tabs>
          <w:tab w:val="num" w:pos="0" w:leader="none"/>
        </w:tabs>
      </w:pPr>
    </w:lvl>
    <w:lvl w:ilvl="7">
      <w:start w:val="1"/>
      <w:numFmt w:val="decimal"/>
      <w:isLgl w:val="false"/>
      <w:suff w:val="tab"/>
      <w:lvlText w:val="%1.%2.%3.%4.%5.%6.%7.%8."/>
      <w:lvlJc w:val="left"/>
      <w:pPr>
        <w:ind w:left="2434" w:hanging="1440"/>
        <w:tabs>
          <w:tab w:val="num" w:pos="0" w:leader="none"/>
        </w:tabs>
      </w:pPr>
    </w:lvl>
    <w:lvl w:ilvl="8">
      <w:start w:val="1"/>
      <w:numFmt w:val="decimal"/>
      <w:isLgl w:val="false"/>
      <w:suff w:val="tab"/>
      <w:lvlText w:val="%1.%2.%3.%4.%5.%6.%7.%8.%9."/>
      <w:lvlJc w:val="left"/>
      <w:pPr>
        <w:ind w:left="2576" w:hanging="1440"/>
        <w:tabs>
          <w:tab w:val="num" w:pos="0" w:leader="none"/>
        </w:tabs>
      </w:pPr>
    </w:lvl>
  </w:abstractNum>
  <w:abstractNum w:abstractNumId="22">
    <w:multiLevelType w:val="hybridMultilevel"/>
    <w:lvl w:ilvl="0">
      <w:start w:val="2"/>
      <w:numFmt w:val="decimal"/>
      <w:isLgl w:val="false"/>
      <w:suff w:val="tab"/>
      <w:lvlText w:val="%1."/>
      <w:lvlJc w:val="left"/>
      <w:pPr>
        <w:ind w:left="432" w:hanging="432"/>
        <w:tabs>
          <w:tab w:val="num" w:pos="0" w:leader="none"/>
        </w:tabs>
      </w:pPr>
    </w:lvl>
    <w:lvl w:ilvl="1">
      <w:start w:val="3"/>
      <w:numFmt w:val="decimal"/>
      <w:isLgl w:val="false"/>
      <w:suff w:val="tab"/>
      <w:lvlText w:val="%1.%2."/>
      <w:lvlJc w:val="left"/>
      <w:pPr>
        <w:ind w:left="574" w:hanging="432"/>
        <w:tabs>
          <w:tab w:val="num" w:pos="0" w:leader="none"/>
        </w:tabs>
      </w:pPr>
    </w:lvl>
    <w:lvl w:ilvl="2">
      <w:start w:val="3"/>
      <w:numFmt w:val="decimal"/>
      <w:isLgl w:val="false"/>
      <w:suff w:val="tab"/>
      <w:lvlText w:val="%1.%2.%3."/>
      <w:lvlJc w:val="left"/>
      <w:pPr>
        <w:ind w:left="1004" w:hanging="720"/>
        <w:tabs>
          <w:tab w:val="num" w:pos="0" w:leader="none"/>
        </w:tabs>
      </w:pPr>
    </w:lvl>
    <w:lvl w:ilvl="3">
      <w:start w:val="1"/>
      <w:numFmt w:val="decimal"/>
      <w:isLgl w:val="false"/>
      <w:suff w:val="tab"/>
      <w:lvlText w:val="%1.%2.%3.%4."/>
      <w:lvlJc w:val="left"/>
      <w:pPr>
        <w:ind w:left="1146" w:hanging="720"/>
        <w:tabs>
          <w:tab w:val="num" w:pos="0" w:leader="none"/>
        </w:tabs>
      </w:pPr>
    </w:lvl>
    <w:lvl w:ilvl="4">
      <w:start w:val="1"/>
      <w:numFmt w:val="decimal"/>
      <w:isLgl w:val="false"/>
      <w:suff w:val="tab"/>
      <w:lvlText w:val="%1.%2.%3.%4.%5."/>
      <w:lvlJc w:val="left"/>
      <w:pPr>
        <w:ind w:left="1288" w:hanging="720"/>
        <w:tabs>
          <w:tab w:val="num" w:pos="0" w:leader="none"/>
        </w:tabs>
      </w:pPr>
    </w:lvl>
    <w:lvl w:ilvl="5">
      <w:start w:val="1"/>
      <w:numFmt w:val="decimal"/>
      <w:isLgl w:val="false"/>
      <w:suff w:val="tab"/>
      <w:lvlText w:val="%1.%2.%3.%4.%5.%6."/>
      <w:lvlJc w:val="left"/>
      <w:pPr>
        <w:ind w:left="1790" w:hanging="1080"/>
        <w:tabs>
          <w:tab w:val="num" w:pos="0" w:leader="none"/>
        </w:tabs>
      </w:pPr>
    </w:lvl>
    <w:lvl w:ilvl="6">
      <w:start w:val="1"/>
      <w:numFmt w:val="decimal"/>
      <w:isLgl w:val="false"/>
      <w:suff w:val="tab"/>
      <w:lvlText w:val="%1.%2.%3.%4.%5.%6.%7."/>
      <w:lvlJc w:val="left"/>
      <w:pPr>
        <w:ind w:left="1932" w:hanging="1080"/>
        <w:tabs>
          <w:tab w:val="num" w:pos="0" w:leader="none"/>
        </w:tabs>
      </w:pPr>
    </w:lvl>
    <w:lvl w:ilvl="7">
      <w:start w:val="1"/>
      <w:numFmt w:val="decimal"/>
      <w:isLgl w:val="false"/>
      <w:suff w:val="tab"/>
      <w:lvlText w:val="%1.%2.%3.%4.%5.%6.%7.%8."/>
      <w:lvlJc w:val="left"/>
      <w:pPr>
        <w:ind w:left="2434" w:hanging="1440"/>
        <w:tabs>
          <w:tab w:val="num" w:pos="0" w:leader="none"/>
        </w:tabs>
      </w:pPr>
    </w:lvl>
    <w:lvl w:ilvl="8">
      <w:start w:val="1"/>
      <w:numFmt w:val="decimal"/>
      <w:isLgl w:val="false"/>
      <w:suff w:val="tab"/>
      <w:lvlText w:val="%1.%2.%3.%4.%5.%6.%7.%8.%9."/>
      <w:lvlJc w:val="left"/>
      <w:pPr>
        <w:ind w:left="2576" w:hanging="1440"/>
        <w:tabs>
          <w:tab w:val="num" w:pos="0" w:leader="none"/>
        </w:tabs>
      </w:pPr>
    </w:lvl>
  </w:abstractNum>
  <w:abstractNum w:abstractNumId="23">
    <w:multiLevelType w:val="hybridMultilevel"/>
    <w:lvl w:ilvl="0">
      <w:start w:val="6"/>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644" w:hanging="360"/>
        <w:tabs>
          <w:tab w:val="num" w:pos="0" w:leader="none"/>
        </w:tabs>
      </w:pPr>
    </w:lvl>
    <w:lvl w:ilvl="2">
      <w:start w:val="1"/>
      <w:numFmt w:val="decimal"/>
      <w:isLgl w:val="false"/>
      <w:suff w:val="tab"/>
      <w:lvlText w:val="%1.%2.%3."/>
      <w:lvlJc w:val="left"/>
      <w:pPr>
        <w:ind w:left="1004" w:hanging="720"/>
        <w:tabs>
          <w:tab w:val="num" w:pos="0" w:leader="none"/>
        </w:tabs>
      </w:pPr>
    </w:lvl>
    <w:lvl w:ilvl="3">
      <w:start w:val="1"/>
      <w:numFmt w:val="decimal"/>
      <w:isLgl w:val="false"/>
      <w:suff w:val="tab"/>
      <w:lvlText w:val="%1.%2.%3.%4."/>
      <w:lvlJc w:val="left"/>
      <w:pPr>
        <w:ind w:left="1572" w:hanging="720"/>
        <w:tabs>
          <w:tab w:val="num" w:pos="0" w:leader="none"/>
        </w:tabs>
      </w:pPr>
    </w:lvl>
    <w:lvl w:ilvl="4">
      <w:start w:val="1"/>
      <w:numFmt w:val="decimal"/>
      <w:isLgl w:val="false"/>
      <w:suff w:val="tab"/>
      <w:lvlText w:val="%1.%2.%3.%4.%5."/>
      <w:lvlJc w:val="left"/>
      <w:pPr>
        <w:ind w:left="1856" w:hanging="720"/>
        <w:tabs>
          <w:tab w:val="num" w:pos="0" w:leader="none"/>
        </w:tabs>
      </w:pPr>
    </w:lvl>
    <w:lvl w:ilvl="5">
      <w:start w:val="1"/>
      <w:numFmt w:val="decimal"/>
      <w:isLgl w:val="false"/>
      <w:suff w:val="tab"/>
      <w:lvlText w:val="%1.%2.%3.%4.%5.%6."/>
      <w:lvlJc w:val="left"/>
      <w:pPr>
        <w:ind w:left="2500" w:hanging="1080"/>
        <w:tabs>
          <w:tab w:val="num" w:pos="0" w:leader="none"/>
        </w:tabs>
      </w:pPr>
    </w:lvl>
    <w:lvl w:ilvl="6">
      <w:start w:val="1"/>
      <w:numFmt w:val="decimal"/>
      <w:isLgl w:val="false"/>
      <w:suff w:val="tab"/>
      <w:lvlText w:val="%1.%2.%3.%4.%5.%6.%7."/>
      <w:lvlJc w:val="left"/>
      <w:pPr>
        <w:ind w:left="2784" w:hanging="1080"/>
        <w:tabs>
          <w:tab w:val="num" w:pos="0" w:leader="none"/>
        </w:tabs>
      </w:pPr>
    </w:lvl>
    <w:lvl w:ilvl="7">
      <w:start w:val="1"/>
      <w:numFmt w:val="decimal"/>
      <w:isLgl w:val="false"/>
      <w:suff w:val="tab"/>
      <w:lvlText w:val="%1.%2.%3.%4.%5.%6.%7.%8."/>
      <w:lvlJc w:val="left"/>
      <w:pPr>
        <w:ind w:left="3428" w:hanging="1440"/>
        <w:tabs>
          <w:tab w:val="num" w:pos="0" w:leader="none"/>
        </w:tabs>
      </w:pPr>
    </w:lvl>
    <w:lvl w:ilvl="8">
      <w:start w:val="1"/>
      <w:numFmt w:val="decimal"/>
      <w:isLgl w:val="false"/>
      <w:suff w:val="tab"/>
      <w:lvlText w:val="%1.%2.%3.%4.%5.%6.%7.%8.%9."/>
      <w:lvlJc w:val="left"/>
      <w:pPr>
        <w:ind w:left="3712" w:hanging="1440"/>
        <w:tabs>
          <w:tab w:val="num" w:pos="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2">
    <w:name w:val="Heading 1"/>
    <w:basedOn w:val="929"/>
    <w:next w:val="929"/>
    <w:link w:val="753"/>
    <w:uiPriority w:val="9"/>
    <w:qFormat/>
    <w:pPr>
      <w:keepLines/>
      <w:keepNext/>
      <w:spacing w:before="480" w:after="200"/>
      <w:outlineLvl w:val="0"/>
    </w:pPr>
    <w:rPr>
      <w:rFonts w:ascii="Arial" w:hAnsi="Arial" w:eastAsia="Arial" w:cs="Arial"/>
      <w:sz w:val="40"/>
      <w:szCs w:val="40"/>
    </w:rPr>
  </w:style>
  <w:style w:type="character" w:styleId="753">
    <w:name w:val="Heading 1 Char"/>
    <w:link w:val="752"/>
    <w:uiPriority w:val="9"/>
    <w:rPr>
      <w:rFonts w:ascii="Arial" w:hAnsi="Arial" w:eastAsia="Arial" w:cs="Arial"/>
      <w:sz w:val="40"/>
      <w:szCs w:val="40"/>
    </w:rPr>
  </w:style>
  <w:style w:type="paragraph" w:styleId="754">
    <w:name w:val="Heading 2"/>
    <w:basedOn w:val="929"/>
    <w:next w:val="929"/>
    <w:link w:val="755"/>
    <w:uiPriority w:val="9"/>
    <w:unhideWhenUsed/>
    <w:qFormat/>
    <w:pPr>
      <w:keepLines/>
      <w:keepNext/>
      <w:spacing w:before="360" w:after="200"/>
      <w:outlineLvl w:val="1"/>
    </w:pPr>
    <w:rPr>
      <w:rFonts w:ascii="Arial" w:hAnsi="Arial" w:eastAsia="Arial" w:cs="Arial"/>
      <w:sz w:val="34"/>
    </w:rPr>
  </w:style>
  <w:style w:type="character" w:styleId="755">
    <w:name w:val="Heading 2 Char"/>
    <w:link w:val="754"/>
    <w:uiPriority w:val="9"/>
    <w:rPr>
      <w:rFonts w:ascii="Arial" w:hAnsi="Arial" w:eastAsia="Arial" w:cs="Arial"/>
      <w:sz w:val="34"/>
    </w:rPr>
  </w:style>
  <w:style w:type="paragraph" w:styleId="756">
    <w:name w:val="Heading 3"/>
    <w:basedOn w:val="929"/>
    <w:next w:val="929"/>
    <w:link w:val="757"/>
    <w:uiPriority w:val="9"/>
    <w:unhideWhenUsed/>
    <w:qFormat/>
    <w:pPr>
      <w:keepLines/>
      <w:keepNext/>
      <w:spacing w:before="320" w:after="200"/>
      <w:outlineLvl w:val="2"/>
    </w:pPr>
    <w:rPr>
      <w:rFonts w:ascii="Arial" w:hAnsi="Arial" w:eastAsia="Arial" w:cs="Arial"/>
      <w:sz w:val="30"/>
      <w:szCs w:val="30"/>
    </w:rPr>
  </w:style>
  <w:style w:type="character" w:styleId="757">
    <w:name w:val="Heading 3 Char"/>
    <w:link w:val="756"/>
    <w:uiPriority w:val="9"/>
    <w:rPr>
      <w:rFonts w:ascii="Arial" w:hAnsi="Arial" w:eastAsia="Arial" w:cs="Arial"/>
      <w:sz w:val="30"/>
      <w:szCs w:val="30"/>
    </w:rPr>
  </w:style>
  <w:style w:type="paragraph" w:styleId="758">
    <w:name w:val="Heading 4"/>
    <w:basedOn w:val="929"/>
    <w:next w:val="929"/>
    <w:link w:val="759"/>
    <w:uiPriority w:val="9"/>
    <w:unhideWhenUsed/>
    <w:qFormat/>
    <w:pPr>
      <w:keepLines/>
      <w:keepNext/>
      <w:spacing w:before="320" w:after="200"/>
      <w:outlineLvl w:val="3"/>
    </w:pPr>
    <w:rPr>
      <w:rFonts w:ascii="Arial" w:hAnsi="Arial" w:eastAsia="Arial" w:cs="Arial"/>
      <w:b/>
      <w:bCs/>
      <w:sz w:val="26"/>
      <w:szCs w:val="26"/>
    </w:rPr>
  </w:style>
  <w:style w:type="character" w:styleId="759">
    <w:name w:val="Heading 4 Char"/>
    <w:link w:val="758"/>
    <w:uiPriority w:val="9"/>
    <w:rPr>
      <w:rFonts w:ascii="Arial" w:hAnsi="Arial" w:eastAsia="Arial" w:cs="Arial"/>
      <w:b/>
      <w:bCs/>
      <w:sz w:val="26"/>
      <w:szCs w:val="26"/>
    </w:rPr>
  </w:style>
  <w:style w:type="paragraph" w:styleId="760">
    <w:name w:val="Heading 5"/>
    <w:basedOn w:val="929"/>
    <w:next w:val="929"/>
    <w:link w:val="761"/>
    <w:uiPriority w:val="9"/>
    <w:unhideWhenUsed/>
    <w:qFormat/>
    <w:pPr>
      <w:keepLines/>
      <w:keepNext/>
      <w:spacing w:before="320" w:after="200"/>
      <w:outlineLvl w:val="4"/>
    </w:pPr>
    <w:rPr>
      <w:rFonts w:ascii="Arial" w:hAnsi="Arial" w:eastAsia="Arial" w:cs="Arial"/>
      <w:b/>
      <w:bCs/>
      <w:sz w:val="24"/>
      <w:szCs w:val="24"/>
    </w:rPr>
  </w:style>
  <w:style w:type="character" w:styleId="761">
    <w:name w:val="Heading 5 Char"/>
    <w:link w:val="760"/>
    <w:uiPriority w:val="9"/>
    <w:rPr>
      <w:rFonts w:ascii="Arial" w:hAnsi="Arial" w:eastAsia="Arial" w:cs="Arial"/>
      <w:b/>
      <w:bCs/>
      <w:sz w:val="24"/>
      <w:szCs w:val="24"/>
    </w:rPr>
  </w:style>
  <w:style w:type="paragraph" w:styleId="762">
    <w:name w:val="Heading 6"/>
    <w:basedOn w:val="929"/>
    <w:next w:val="929"/>
    <w:link w:val="763"/>
    <w:uiPriority w:val="9"/>
    <w:unhideWhenUsed/>
    <w:qFormat/>
    <w:pPr>
      <w:keepLines/>
      <w:keepNext/>
      <w:spacing w:before="320" w:after="200"/>
      <w:outlineLvl w:val="5"/>
    </w:pPr>
    <w:rPr>
      <w:rFonts w:ascii="Arial" w:hAnsi="Arial" w:eastAsia="Arial" w:cs="Arial"/>
      <w:b/>
      <w:bCs/>
      <w:sz w:val="22"/>
      <w:szCs w:val="22"/>
    </w:rPr>
  </w:style>
  <w:style w:type="character" w:styleId="763">
    <w:name w:val="Heading 6 Char"/>
    <w:link w:val="762"/>
    <w:uiPriority w:val="9"/>
    <w:rPr>
      <w:rFonts w:ascii="Arial" w:hAnsi="Arial" w:eastAsia="Arial" w:cs="Arial"/>
      <w:b/>
      <w:bCs/>
      <w:sz w:val="22"/>
      <w:szCs w:val="22"/>
    </w:rPr>
  </w:style>
  <w:style w:type="paragraph" w:styleId="764">
    <w:name w:val="Heading 7"/>
    <w:basedOn w:val="929"/>
    <w:next w:val="929"/>
    <w:link w:val="765"/>
    <w:uiPriority w:val="9"/>
    <w:unhideWhenUsed/>
    <w:qFormat/>
    <w:pPr>
      <w:keepLines/>
      <w:keepNext/>
      <w:spacing w:before="320" w:after="200"/>
      <w:outlineLvl w:val="6"/>
    </w:pPr>
    <w:rPr>
      <w:rFonts w:ascii="Arial" w:hAnsi="Arial" w:eastAsia="Arial" w:cs="Arial"/>
      <w:b/>
      <w:bCs/>
      <w:i/>
      <w:iCs/>
      <w:sz w:val="22"/>
      <w:szCs w:val="22"/>
    </w:rPr>
  </w:style>
  <w:style w:type="character" w:styleId="765">
    <w:name w:val="Heading 7 Char"/>
    <w:link w:val="764"/>
    <w:uiPriority w:val="9"/>
    <w:rPr>
      <w:rFonts w:ascii="Arial" w:hAnsi="Arial" w:eastAsia="Arial" w:cs="Arial"/>
      <w:b/>
      <w:bCs/>
      <w:i/>
      <w:iCs/>
      <w:sz w:val="22"/>
      <w:szCs w:val="22"/>
    </w:rPr>
  </w:style>
  <w:style w:type="paragraph" w:styleId="766">
    <w:name w:val="Heading 8"/>
    <w:basedOn w:val="929"/>
    <w:next w:val="929"/>
    <w:link w:val="767"/>
    <w:uiPriority w:val="9"/>
    <w:unhideWhenUsed/>
    <w:qFormat/>
    <w:pPr>
      <w:keepLines/>
      <w:keepNext/>
      <w:spacing w:before="320" w:after="200"/>
      <w:outlineLvl w:val="7"/>
    </w:pPr>
    <w:rPr>
      <w:rFonts w:ascii="Arial" w:hAnsi="Arial" w:eastAsia="Arial" w:cs="Arial"/>
      <w:i/>
      <w:iCs/>
      <w:sz w:val="22"/>
      <w:szCs w:val="22"/>
    </w:rPr>
  </w:style>
  <w:style w:type="character" w:styleId="767">
    <w:name w:val="Heading 8 Char"/>
    <w:link w:val="766"/>
    <w:uiPriority w:val="9"/>
    <w:rPr>
      <w:rFonts w:ascii="Arial" w:hAnsi="Arial" w:eastAsia="Arial" w:cs="Arial"/>
      <w:i/>
      <w:iCs/>
      <w:sz w:val="22"/>
      <w:szCs w:val="22"/>
    </w:rPr>
  </w:style>
  <w:style w:type="paragraph" w:styleId="768">
    <w:name w:val="Heading 9"/>
    <w:basedOn w:val="929"/>
    <w:next w:val="929"/>
    <w:link w:val="769"/>
    <w:uiPriority w:val="9"/>
    <w:unhideWhenUsed/>
    <w:qFormat/>
    <w:pPr>
      <w:keepLines/>
      <w:keepNext/>
      <w:spacing w:before="320" w:after="200"/>
      <w:outlineLvl w:val="8"/>
    </w:pPr>
    <w:rPr>
      <w:rFonts w:ascii="Arial" w:hAnsi="Arial" w:eastAsia="Arial" w:cs="Arial"/>
      <w:i/>
      <w:iCs/>
      <w:sz w:val="21"/>
      <w:szCs w:val="21"/>
    </w:rPr>
  </w:style>
  <w:style w:type="character" w:styleId="769">
    <w:name w:val="Heading 9 Char"/>
    <w:link w:val="768"/>
    <w:uiPriority w:val="9"/>
    <w:rPr>
      <w:rFonts w:ascii="Arial" w:hAnsi="Arial" w:eastAsia="Arial" w:cs="Arial"/>
      <w:i/>
      <w:iCs/>
      <w:sz w:val="21"/>
      <w:szCs w:val="21"/>
    </w:rPr>
  </w:style>
  <w:style w:type="paragraph" w:styleId="770">
    <w:name w:val="No Spacing"/>
    <w:uiPriority w:val="1"/>
    <w:qFormat/>
    <w:pPr>
      <w:spacing w:before="0" w:after="0" w:line="240" w:lineRule="auto"/>
    </w:pPr>
  </w:style>
  <w:style w:type="paragraph" w:styleId="771">
    <w:name w:val="Title"/>
    <w:basedOn w:val="929"/>
    <w:next w:val="929"/>
    <w:link w:val="772"/>
    <w:uiPriority w:val="10"/>
    <w:qFormat/>
    <w:pPr>
      <w:contextualSpacing/>
      <w:spacing w:before="300" w:after="200"/>
    </w:pPr>
    <w:rPr>
      <w:sz w:val="48"/>
      <w:szCs w:val="48"/>
    </w:rPr>
  </w:style>
  <w:style w:type="character" w:styleId="772">
    <w:name w:val="Title Char"/>
    <w:link w:val="771"/>
    <w:uiPriority w:val="10"/>
    <w:rPr>
      <w:sz w:val="48"/>
      <w:szCs w:val="48"/>
    </w:rPr>
  </w:style>
  <w:style w:type="paragraph" w:styleId="773">
    <w:name w:val="Subtitle"/>
    <w:basedOn w:val="929"/>
    <w:next w:val="929"/>
    <w:link w:val="774"/>
    <w:uiPriority w:val="11"/>
    <w:qFormat/>
    <w:pPr>
      <w:spacing w:before="200" w:after="200"/>
    </w:pPr>
    <w:rPr>
      <w:sz w:val="24"/>
      <w:szCs w:val="24"/>
    </w:rPr>
  </w:style>
  <w:style w:type="character" w:styleId="774">
    <w:name w:val="Subtitle Char"/>
    <w:link w:val="773"/>
    <w:uiPriority w:val="11"/>
    <w:rPr>
      <w:sz w:val="24"/>
      <w:szCs w:val="24"/>
    </w:rPr>
  </w:style>
  <w:style w:type="paragraph" w:styleId="775">
    <w:name w:val="Quote"/>
    <w:basedOn w:val="929"/>
    <w:next w:val="929"/>
    <w:link w:val="776"/>
    <w:uiPriority w:val="29"/>
    <w:qFormat/>
    <w:pPr>
      <w:ind w:left="720" w:right="720"/>
    </w:pPr>
    <w:rPr>
      <w:i/>
    </w:rPr>
  </w:style>
  <w:style w:type="character" w:styleId="776">
    <w:name w:val="Quote Char"/>
    <w:link w:val="775"/>
    <w:uiPriority w:val="29"/>
    <w:rPr>
      <w:i/>
    </w:rPr>
  </w:style>
  <w:style w:type="paragraph" w:styleId="777">
    <w:name w:val="Intense Quote"/>
    <w:basedOn w:val="929"/>
    <w:next w:val="929"/>
    <w:link w:val="77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78">
    <w:name w:val="Intense Quote Char"/>
    <w:link w:val="777"/>
    <w:uiPriority w:val="30"/>
    <w:rPr>
      <w:i/>
    </w:rPr>
  </w:style>
  <w:style w:type="paragraph" w:styleId="779">
    <w:name w:val="Header"/>
    <w:basedOn w:val="929"/>
    <w:link w:val="780"/>
    <w:uiPriority w:val="99"/>
    <w:unhideWhenUsed/>
    <w:pPr>
      <w:spacing w:after="0" w:line="240" w:lineRule="auto"/>
      <w:tabs>
        <w:tab w:val="center" w:pos="7143" w:leader="none"/>
        <w:tab w:val="right" w:pos="14287" w:leader="none"/>
      </w:tabs>
    </w:pPr>
  </w:style>
  <w:style w:type="character" w:styleId="780">
    <w:name w:val="Header Char"/>
    <w:link w:val="779"/>
    <w:uiPriority w:val="99"/>
  </w:style>
  <w:style w:type="paragraph" w:styleId="781">
    <w:name w:val="Footer"/>
    <w:basedOn w:val="929"/>
    <w:link w:val="784"/>
    <w:uiPriority w:val="99"/>
    <w:unhideWhenUsed/>
    <w:pPr>
      <w:spacing w:after="0" w:line="240" w:lineRule="auto"/>
      <w:tabs>
        <w:tab w:val="center" w:pos="7143" w:leader="none"/>
        <w:tab w:val="right" w:pos="14287" w:leader="none"/>
      </w:tabs>
    </w:pPr>
  </w:style>
  <w:style w:type="character" w:styleId="782">
    <w:name w:val="Footer Char"/>
    <w:link w:val="781"/>
    <w:uiPriority w:val="99"/>
  </w:style>
  <w:style w:type="paragraph" w:styleId="783">
    <w:name w:val="Caption"/>
    <w:basedOn w:val="929"/>
    <w:next w:val="929"/>
    <w:uiPriority w:val="35"/>
    <w:semiHidden/>
    <w:unhideWhenUsed/>
    <w:qFormat/>
    <w:pPr>
      <w:spacing w:line="276" w:lineRule="auto"/>
    </w:pPr>
    <w:rPr>
      <w:b/>
      <w:bCs/>
      <w:color w:val="4f81bd" w:themeColor="accent1"/>
      <w:sz w:val="18"/>
      <w:szCs w:val="18"/>
    </w:rPr>
  </w:style>
  <w:style w:type="character" w:styleId="784">
    <w:name w:val="Caption Char"/>
    <w:basedOn w:val="783"/>
    <w:link w:val="781"/>
    <w:uiPriority w:val="99"/>
  </w:style>
  <w:style w:type="table" w:styleId="78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8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8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9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9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9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9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9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9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9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9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0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0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0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0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0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0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1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1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1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1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2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2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2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2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2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2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2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2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3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3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3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3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3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3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3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3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4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4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4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4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4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4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4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4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4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5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5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5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5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5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5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5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5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5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6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6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6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6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6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6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6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6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7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7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7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8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8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8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8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8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8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8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8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8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8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9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9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9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9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9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0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0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0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0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0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1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11">
    <w:name w:val="Hyperlink"/>
    <w:uiPriority w:val="99"/>
    <w:unhideWhenUsed/>
    <w:rPr>
      <w:color w:val="0000ff" w:themeColor="hyperlink"/>
      <w:u w:val="single"/>
    </w:rPr>
  </w:style>
  <w:style w:type="paragraph" w:styleId="912">
    <w:name w:val="footnote text"/>
    <w:basedOn w:val="929"/>
    <w:link w:val="913"/>
    <w:uiPriority w:val="99"/>
    <w:semiHidden/>
    <w:unhideWhenUsed/>
    <w:pPr>
      <w:spacing w:after="40" w:line="240" w:lineRule="auto"/>
    </w:pPr>
    <w:rPr>
      <w:sz w:val="18"/>
    </w:rPr>
  </w:style>
  <w:style w:type="character" w:styleId="913">
    <w:name w:val="Footnote Text Char"/>
    <w:link w:val="912"/>
    <w:uiPriority w:val="99"/>
    <w:rPr>
      <w:sz w:val="18"/>
    </w:rPr>
  </w:style>
  <w:style w:type="character" w:styleId="914">
    <w:name w:val="footnote reference"/>
    <w:uiPriority w:val="99"/>
    <w:unhideWhenUsed/>
    <w:rPr>
      <w:vertAlign w:val="superscript"/>
    </w:rPr>
  </w:style>
  <w:style w:type="paragraph" w:styleId="915">
    <w:name w:val="endnote text"/>
    <w:basedOn w:val="929"/>
    <w:link w:val="916"/>
    <w:uiPriority w:val="99"/>
    <w:semiHidden/>
    <w:unhideWhenUsed/>
    <w:pPr>
      <w:spacing w:after="0" w:line="240" w:lineRule="auto"/>
    </w:pPr>
    <w:rPr>
      <w:sz w:val="20"/>
    </w:rPr>
  </w:style>
  <w:style w:type="character" w:styleId="916">
    <w:name w:val="Endnote Text Char"/>
    <w:link w:val="915"/>
    <w:uiPriority w:val="99"/>
    <w:rPr>
      <w:sz w:val="20"/>
    </w:rPr>
  </w:style>
  <w:style w:type="character" w:styleId="917">
    <w:name w:val="endnote reference"/>
    <w:uiPriority w:val="99"/>
    <w:semiHidden/>
    <w:unhideWhenUsed/>
    <w:rPr>
      <w:vertAlign w:val="superscript"/>
    </w:rPr>
  </w:style>
  <w:style w:type="paragraph" w:styleId="918">
    <w:name w:val="toc 1"/>
    <w:basedOn w:val="929"/>
    <w:next w:val="929"/>
    <w:uiPriority w:val="39"/>
    <w:unhideWhenUsed/>
    <w:pPr>
      <w:ind w:left="0" w:right="0" w:firstLine="0"/>
      <w:spacing w:after="57"/>
    </w:pPr>
  </w:style>
  <w:style w:type="paragraph" w:styleId="919">
    <w:name w:val="toc 2"/>
    <w:basedOn w:val="929"/>
    <w:next w:val="929"/>
    <w:uiPriority w:val="39"/>
    <w:unhideWhenUsed/>
    <w:pPr>
      <w:ind w:left="283" w:right="0" w:firstLine="0"/>
      <w:spacing w:after="57"/>
    </w:pPr>
  </w:style>
  <w:style w:type="paragraph" w:styleId="920">
    <w:name w:val="toc 3"/>
    <w:basedOn w:val="929"/>
    <w:next w:val="929"/>
    <w:uiPriority w:val="39"/>
    <w:unhideWhenUsed/>
    <w:pPr>
      <w:ind w:left="567" w:right="0" w:firstLine="0"/>
      <w:spacing w:after="57"/>
    </w:pPr>
  </w:style>
  <w:style w:type="paragraph" w:styleId="921">
    <w:name w:val="toc 4"/>
    <w:basedOn w:val="929"/>
    <w:next w:val="929"/>
    <w:uiPriority w:val="39"/>
    <w:unhideWhenUsed/>
    <w:pPr>
      <w:ind w:left="850" w:right="0" w:firstLine="0"/>
      <w:spacing w:after="57"/>
    </w:pPr>
  </w:style>
  <w:style w:type="paragraph" w:styleId="922">
    <w:name w:val="toc 5"/>
    <w:basedOn w:val="929"/>
    <w:next w:val="929"/>
    <w:uiPriority w:val="39"/>
    <w:unhideWhenUsed/>
    <w:pPr>
      <w:ind w:left="1134" w:right="0" w:firstLine="0"/>
      <w:spacing w:after="57"/>
    </w:pPr>
  </w:style>
  <w:style w:type="paragraph" w:styleId="923">
    <w:name w:val="toc 6"/>
    <w:basedOn w:val="929"/>
    <w:next w:val="929"/>
    <w:uiPriority w:val="39"/>
    <w:unhideWhenUsed/>
    <w:pPr>
      <w:ind w:left="1417" w:right="0" w:firstLine="0"/>
      <w:spacing w:after="57"/>
    </w:pPr>
  </w:style>
  <w:style w:type="paragraph" w:styleId="924">
    <w:name w:val="toc 7"/>
    <w:basedOn w:val="929"/>
    <w:next w:val="929"/>
    <w:uiPriority w:val="39"/>
    <w:unhideWhenUsed/>
    <w:pPr>
      <w:ind w:left="1701" w:right="0" w:firstLine="0"/>
      <w:spacing w:after="57"/>
    </w:pPr>
  </w:style>
  <w:style w:type="paragraph" w:styleId="925">
    <w:name w:val="toc 8"/>
    <w:basedOn w:val="929"/>
    <w:next w:val="929"/>
    <w:uiPriority w:val="39"/>
    <w:unhideWhenUsed/>
    <w:pPr>
      <w:ind w:left="1984" w:right="0" w:firstLine="0"/>
      <w:spacing w:after="57"/>
    </w:pPr>
  </w:style>
  <w:style w:type="paragraph" w:styleId="926">
    <w:name w:val="toc 9"/>
    <w:basedOn w:val="929"/>
    <w:next w:val="929"/>
    <w:uiPriority w:val="39"/>
    <w:unhideWhenUsed/>
    <w:pPr>
      <w:ind w:left="2268" w:right="0" w:firstLine="0"/>
      <w:spacing w:after="57"/>
    </w:pPr>
  </w:style>
  <w:style w:type="paragraph" w:styleId="927">
    <w:name w:val="TOC Heading"/>
    <w:uiPriority w:val="39"/>
    <w:unhideWhenUsed/>
  </w:style>
  <w:style w:type="paragraph" w:styleId="928">
    <w:name w:val="table of figures"/>
    <w:basedOn w:val="929"/>
    <w:next w:val="929"/>
    <w:uiPriority w:val="99"/>
    <w:unhideWhenUsed/>
    <w:pPr>
      <w:spacing w:after="0" w:afterAutospacing="0"/>
    </w:pPr>
  </w:style>
  <w:style w:type="paragraph" w:styleId="929" w:default="1">
    <w:name w:val="Normal"/>
    <w:next w:val="929"/>
    <w:link w:val="929"/>
    <w:qFormat/>
    <w:rPr>
      <w:lang w:val="ru-RU" w:eastAsia="zh-CN" w:bidi="ar-SA"/>
    </w:rPr>
  </w:style>
  <w:style w:type="character" w:styleId="930">
    <w:name w:val="Основной шрифт абзаца"/>
    <w:next w:val="930"/>
    <w:link w:val="929"/>
    <w:uiPriority w:val="1"/>
    <w:semiHidden/>
    <w:unhideWhenUsed/>
  </w:style>
  <w:style w:type="table" w:styleId="931">
    <w:name w:val="Обычная таблица"/>
    <w:next w:val="931"/>
    <w:link w:val="929"/>
    <w:uiPriority w:val="99"/>
    <w:semiHidden/>
    <w:unhideWhenUsed/>
    <w:tblPr/>
  </w:style>
  <w:style w:type="numbering" w:styleId="932">
    <w:name w:val="Нет списка"/>
    <w:next w:val="932"/>
    <w:link w:val="929"/>
    <w:uiPriority w:val="99"/>
    <w:semiHidden/>
    <w:unhideWhenUsed/>
  </w:style>
  <w:style w:type="character" w:styleId="933">
    <w:name w:val="WW8Num1z0"/>
    <w:next w:val="933"/>
    <w:link w:val="929"/>
    <w:rPr>
      <w:b/>
      <w:sz w:val="20"/>
      <w:szCs w:val="20"/>
    </w:rPr>
  </w:style>
  <w:style w:type="character" w:styleId="934">
    <w:name w:val="WW8Num1z1"/>
    <w:next w:val="934"/>
    <w:link w:val="929"/>
    <w:rPr>
      <w:b w:val="0"/>
      <w:i w:val="0"/>
      <w:sz w:val="24"/>
      <w:szCs w:val="24"/>
    </w:rPr>
  </w:style>
  <w:style w:type="character" w:styleId="935">
    <w:name w:val="WW8Num1z2"/>
    <w:next w:val="935"/>
    <w:link w:val="929"/>
  </w:style>
  <w:style w:type="character" w:styleId="936">
    <w:name w:val="WW8Num2z0"/>
    <w:next w:val="936"/>
    <w:link w:val="929"/>
    <w:rPr>
      <w:rFonts w:ascii="Symbol" w:hAnsi="Symbol" w:cs="StarSymbol"/>
      <w:sz w:val="18"/>
      <w:szCs w:val="18"/>
    </w:rPr>
  </w:style>
  <w:style w:type="character" w:styleId="937">
    <w:name w:val="WW8Num3z0"/>
    <w:next w:val="937"/>
    <w:link w:val="929"/>
    <w:rPr>
      <w:rFonts w:cs="Times New Roman"/>
    </w:rPr>
  </w:style>
  <w:style w:type="character" w:styleId="938">
    <w:name w:val="WW8Num3z1"/>
    <w:next w:val="938"/>
    <w:link w:val="929"/>
    <w:rPr>
      <w:rFonts w:cs="Times New Roman"/>
    </w:rPr>
  </w:style>
  <w:style w:type="character" w:styleId="939">
    <w:name w:val="WW8Num4z0"/>
    <w:next w:val="939"/>
    <w:link w:val="929"/>
    <w:rPr>
      <w:color w:val="000000"/>
    </w:rPr>
  </w:style>
  <w:style w:type="character" w:styleId="940">
    <w:name w:val="WW8Num4z2"/>
    <w:next w:val="940"/>
    <w:link w:val="929"/>
    <w:rPr>
      <w:color w:val="ff0000"/>
    </w:rPr>
  </w:style>
  <w:style w:type="character" w:styleId="941">
    <w:name w:val="WW8Num5z0"/>
    <w:next w:val="941"/>
    <w:link w:val="929"/>
  </w:style>
  <w:style w:type="character" w:styleId="942">
    <w:name w:val="WW8Num5z2"/>
    <w:next w:val="942"/>
    <w:link w:val="929"/>
    <w:rPr>
      <w:b w:val="0"/>
      <w:i w:val="0"/>
      <w:sz w:val="20"/>
      <w:szCs w:val="20"/>
    </w:rPr>
  </w:style>
  <w:style w:type="character" w:styleId="943">
    <w:name w:val="WW8Num6z0"/>
    <w:next w:val="943"/>
    <w:link w:val="929"/>
  </w:style>
  <w:style w:type="character" w:styleId="944">
    <w:name w:val="WW8Num6z2"/>
    <w:next w:val="944"/>
    <w:link w:val="929"/>
    <w:rPr>
      <w:b w:val="0"/>
      <w:i w:val="0"/>
      <w:sz w:val="20"/>
      <w:szCs w:val="20"/>
    </w:rPr>
  </w:style>
  <w:style w:type="character" w:styleId="945">
    <w:name w:val="WW8Num7z0"/>
    <w:next w:val="945"/>
    <w:link w:val="929"/>
  </w:style>
  <w:style w:type="character" w:styleId="946">
    <w:name w:val="WW8Num8z0"/>
    <w:next w:val="946"/>
    <w:link w:val="929"/>
  </w:style>
  <w:style w:type="character" w:styleId="947">
    <w:name w:val="WW8Num9z0"/>
    <w:next w:val="947"/>
    <w:link w:val="929"/>
  </w:style>
  <w:style w:type="character" w:styleId="948">
    <w:name w:val="WW8Num10z0"/>
    <w:next w:val="948"/>
    <w:link w:val="929"/>
  </w:style>
  <w:style w:type="character" w:styleId="949">
    <w:name w:val="WW8Num11z0"/>
    <w:next w:val="949"/>
    <w:link w:val="929"/>
  </w:style>
  <w:style w:type="character" w:styleId="950">
    <w:name w:val="WW8Num12z0"/>
    <w:next w:val="950"/>
    <w:link w:val="929"/>
  </w:style>
  <w:style w:type="character" w:styleId="951">
    <w:name w:val="WW8Num13z0"/>
    <w:next w:val="951"/>
    <w:link w:val="929"/>
  </w:style>
  <w:style w:type="character" w:styleId="952">
    <w:name w:val="WW8Num14z0"/>
    <w:next w:val="952"/>
    <w:link w:val="929"/>
  </w:style>
  <w:style w:type="character" w:styleId="953">
    <w:name w:val="WW8Num15z0"/>
    <w:next w:val="953"/>
    <w:link w:val="929"/>
    <w:rPr>
      <w:rFonts w:ascii="Symbol" w:hAnsi="Symbol" w:cs="Symbol"/>
      <w:sz w:val="20"/>
    </w:rPr>
  </w:style>
  <w:style w:type="character" w:styleId="954">
    <w:name w:val="WW8Num15z1"/>
    <w:next w:val="954"/>
    <w:link w:val="929"/>
    <w:rPr>
      <w:rFonts w:ascii="Courier New" w:hAnsi="Courier New" w:cs="Courier New"/>
      <w:sz w:val="20"/>
    </w:rPr>
  </w:style>
  <w:style w:type="character" w:styleId="955">
    <w:name w:val="WW8Num15z2"/>
    <w:next w:val="955"/>
    <w:link w:val="929"/>
    <w:rPr>
      <w:rFonts w:ascii="Wingdings" w:hAnsi="Wingdings" w:cs="Wingdings"/>
      <w:sz w:val="20"/>
    </w:rPr>
  </w:style>
  <w:style w:type="character" w:styleId="956">
    <w:name w:val="WW8Num16z0"/>
    <w:next w:val="956"/>
    <w:link w:val="929"/>
  </w:style>
  <w:style w:type="character" w:styleId="957">
    <w:name w:val="WW8Num17z0"/>
    <w:next w:val="957"/>
    <w:link w:val="929"/>
  </w:style>
  <w:style w:type="character" w:styleId="958">
    <w:name w:val="WW8Num18z0"/>
    <w:next w:val="958"/>
    <w:link w:val="929"/>
  </w:style>
  <w:style w:type="character" w:styleId="959">
    <w:name w:val="WW8Num19z0"/>
    <w:next w:val="959"/>
    <w:link w:val="929"/>
    <w:rPr>
      <w:rFonts w:ascii="Symbol" w:hAnsi="Symbol" w:cs="Symbol"/>
    </w:rPr>
  </w:style>
  <w:style w:type="character" w:styleId="960">
    <w:name w:val="WW8Num19z1"/>
    <w:next w:val="960"/>
    <w:link w:val="929"/>
    <w:rPr>
      <w:rFonts w:ascii="Courier New" w:hAnsi="Courier New" w:cs="Courier New"/>
    </w:rPr>
  </w:style>
  <w:style w:type="character" w:styleId="961">
    <w:name w:val="WW8Num19z2"/>
    <w:next w:val="961"/>
    <w:link w:val="929"/>
    <w:rPr>
      <w:rFonts w:ascii="Wingdings" w:hAnsi="Wingdings" w:cs="Wingdings"/>
    </w:rPr>
  </w:style>
  <w:style w:type="character" w:styleId="962">
    <w:name w:val="WW8Num20z0"/>
    <w:next w:val="962"/>
    <w:link w:val="929"/>
  </w:style>
  <w:style w:type="character" w:styleId="963">
    <w:name w:val="WW8Num21z0"/>
    <w:next w:val="963"/>
    <w:link w:val="929"/>
  </w:style>
  <w:style w:type="character" w:styleId="964">
    <w:name w:val="WW8Num21z2"/>
    <w:next w:val="964"/>
    <w:link w:val="929"/>
    <w:rPr>
      <w:i w:val="0"/>
    </w:rPr>
  </w:style>
  <w:style w:type="character" w:styleId="965">
    <w:name w:val="WW8Num22z0"/>
    <w:next w:val="965"/>
    <w:link w:val="929"/>
  </w:style>
  <w:style w:type="character" w:styleId="966">
    <w:name w:val="WW8Num23z0"/>
    <w:next w:val="966"/>
    <w:link w:val="929"/>
  </w:style>
  <w:style w:type="character" w:styleId="967">
    <w:name w:val="WW8Num24z0"/>
    <w:next w:val="967"/>
    <w:link w:val="929"/>
    <w:rPr>
      <w:i w:val="0"/>
    </w:rPr>
  </w:style>
  <w:style w:type="character" w:styleId="968">
    <w:name w:val="WW8Num25z0"/>
    <w:next w:val="968"/>
    <w:link w:val="929"/>
    <w:rPr>
      <w:rFonts w:ascii="Calibri" w:hAnsi="Calibri" w:cs="Calibri"/>
      <w:sz w:val="22"/>
    </w:rPr>
  </w:style>
  <w:style w:type="character" w:styleId="969">
    <w:name w:val="WW8Num26z0"/>
    <w:next w:val="969"/>
    <w:link w:val="929"/>
  </w:style>
  <w:style w:type="character" w:styleId="970">
    <w:name w:val="WW8Num27z0"/>
    <w:next w:val="970"/>
    <w:link w:val="929"/>
  </w:style>
  <w:style w:type="character" w:styleId="971">
    <w:name w:val="WW8Num28z0"/>
    <w:next w:val="971"/>
    <w:link w:val="929"/>
    <w:rPr>
      <w:rFonts w:ascii="Symbol" w:hAnsi="Symbol" w:cs="Symbol"/>
      <w:sz w:val="24"/>
      <w:szCs w:val="24"/>
    </w:rPr>
  </w:style>
  <w:style w:type="character" w:styleId="972">
    <w:name w:val="WW8Num28z1"/>
    <w:next w:val="972"/>
    <w:link w:val="929"/>
    <w:rPr>
      <w:rFonts w:ascii="Symbol" w:hAnsi="Symbol" w:cs="Symbol"/>
    </w:rPr>
  </w:style>
  <w:style w:type="character" w:styleId="973">
    <w:name w:val="WW8Num29z0"/>
    <w:next w:val="973"/>
    <w:link w:val="929"/>
  </w:style>
  <w:style w:type="character" w:styleId="974">
    <w:name w:val="WW8Num30z0"/>
    <w:next w:val="974"/>
    <w:link w:val="929"/>
  </w:style>
  <w:style w:type="character" w:styleId="975">
    <w:name w:val="WW8Num31z0"/>
    <w:next w:val="975"/>
    <w:link w:val="929"/>
  </w:style>
  <w:style w:type="character" w:styleId="976">
    <w:name w:val="WW8Num32z0"/>
    <w:next w:val="976"/>
    <w:link w:val="929"/>
  </w:style>
  <w:style w:type="character" w:styleId="977">
    <w:name w:val="WW8Num33z0"/>
    <w:next w:val="977"/>
    <w:link w:val="929"/>
    <w:rPr>
      <w:rFonts w:ascii="Calibri" w:hAnsi="Calibri" w:cs="Calibri"/>
      <w:sz w:val="22"/>
    </w:rPr>
  </w:style>
  <w:style w:type="character" w:styleId="978">
    <w:name w:val="WW8Num34z0"/>
    <w:next w:val="978"/>
    <w:link w:val="929"/>
  </w:style>
  <w:style w:type="character" w:styleId="979">
    <w:name w:val="WW8Num35z0"/>
    <w:next w:val="979"/>
    <w:link w:val="929"/>
  </w:style>
  <w:style w:type="character" w:styleId="980">
    <w:name w:val="WW8Num35z2"/>
    <w:next w:val="980"/>
    <w:link w:val="929"/>
    <w:rPr>
      <w:i w:val="0"/>
    </w:rPr>
  </w:style>
  <w:style w:type="character" w:styleId="981">
    <w:name w:val="WW8Num36z0"/>
    <w:next w:val="981"/>
    <w:link w:val="929"/>
  </w:style>
  <w:style w:type="character" w:styleId="982">
    <w:name w:val="WW8Num37z0"/>
    <w:next w:val="982"/>
    <w:link w:val="929"/>
  </w:style>
  <w:style w:type="character" w:styleId="983">
    <w:name w:val="WW8Num38z0"/>
    <w:next w:val="983"/>
    <w:link w:val="929"/>
  </w:style>
  <w:style w:type="character" w:styleId="984">
    <w:name w:val="WW8Num39z0"/>
    <w:next w:val="984"/>
    <w:link w:val="929"/>
    <w:rPr>
      <w:i w:val="0"/>
    </w:rPr>
  </w:style>
  <w:style w:type="character" w:styleId="985">
    <w:name w:val="WW8Num40z0"/>
    <w:next w:val="985"/>
    <w:link w:val="929"/>
  </w:style>
  <w:style w:type="character" w:styleId="986">
    <w:name w:val="WW8Num41z0"/>
    <w:next w:val="986"/>
    <w:link w:val="929"/>
  </w:style>
  <w:style w:type="character" w:styleId="987">
    <w:name w:val="WW8Num42z0"/>
    <w:next w:val="987"/>
    <w:link w:val="929"/>
  </w:style>
  <w:style w:type="character" w:styleId="988">
    <w:name w:val="WW8Num43z0"/>
    <w:next w:val="988"/>
    <w:link w:val="929"/>
  </w:style>
  <w:style w:type="character" w:styleId="989">
    <w:name w:val="WW8Num44z0"/>
    <w:next w:val="989"/>
    <w:link w:val="929"/>
    <w:rPr>
      <w:i w:val="0"/>
    </w:rPr>
  </w:style>
  <w:style w:type="character" w:styleId="990">
    <w:name w:val="WW8Num44z1"/>
    <w:next w:val="990"/>
    <w:link w:val="929"/>
  </w:style>
  <w:style w:type="character" w:styleId="991">
    <w:name w:val="WW8Num44z2"/>
    <w:next w:val="991"/>
    <w:link w:val="929"/>
    <w:rPr>
      <w:b w:val="0"/>
      <w:i w:val="0"/>
      <w:color w:val="000000"/>
      <w:sz w:val="20"/>
      <w:szCs w:val="20"/>
    </w:rPr>
  </w:style>
  <w:style w:type="character" w:styleId="992">
    <w:name w:val="WW8Num45z0"/>
    <w:next w:val="992"/>
    <w:link w:val="929"/>
  </w:style>
  <w:style w:type="character" w:styleId="993">
    <w:name w:val="WW8Num45z2"/>
    <w:next w:val="993"/>
    <w:link w:val="929"/>
    <w:rPr>
      <w:b w:val="0"/>
      <w:i w:val="0"/>
      <w:color w:val="000000"/>
      <w:sz w:val="20"/>
      <w:szCs w:val="20"/>
    </w:rPr>
  </w:style>
  <w:style w:type="character" w:styleId="994">
    <w:name w:val="WW8Num46z0"/>
    <w:next w:val="994"/>
    <w:link w:val="929"/>
  </w:style>
  <w:style w:type="character" w:styleId="995">
    <w:name w:val="WW8Num46z2"/>
    <w:next w:val="995"/>
    <w:link w:val="929"/>
    <w:rPr>
      <w:b w:val="0"/>
      <w:i w:val="0"/>
      <w:color w:val="000000"/>
      <w:sz w:val="20"/>
      <w:szCs w:val="20"/>
    </w:rPr>
  </w:style>
  <w:style w:type="character" w:styleId="996">
    <w:name w:val="WW8Num47z0"/>
    <w:next w:val="996"/>
    <w:link w:val="929"/>
  </w:style>
  <w:style w:type="character" w:styleId="997">
    <w:name w:val="WW8Num48z0"/>
    <w:next w:val="997"/>
    <w:link w:val="929"/>
  </w:style>
  <w:style w:type="character" w:styleId="998">
    <w:name w:val="WW8Num48z2"/>
    <w:next w:val="998"/>
    <w:link w:val="929"/>
    <w:rPr>
      <w:b w:val="0"/>
      <w:i w:val="0"/>
      <w:sz w:val="20"/>
      <w:szCs w:val="20"/>
    </w:rPr>
  </w:style>
  <w:style w:type="character" w:styleId="999">
    <w:name w:val="WW8Num49z0"/>
    <w:next w:val="999"/>
    <w:link w:val="929"/>
  </w:style>
  <w:style w:type="character" w:styleId="1000">
    <w:name w:val="WW8Num50z0"/>
    <w:next w:val="1000"/>
    <w:link w:val="929"/>
  </w:style>
  <w:style w:type="character" w:styleId="1001">
    <w:name w:val="Основной шрифт абзаца1"/>
    <w:next w:val="1001"/>
    <w:link w:val="929"/>
  </w:style>
  <w:style w:type="character" w:styleId="1002">
    <w:name w:val="Номер страницы"/>
    <w:basedOn w:val="1001"/>
    <w:next w:val="1002"/>
    <w:link w:val="929"/>
  </w:style>
  <w:style w:type="character" w:styleId="1003">
    <w:name w:val="Гиперссылка"/>
    <w:next w:val="1003"/>
    <w:link w:val="929"/>
    <w:rPr>
      <w:color w:val="0000ff"/>
      <w:u w:val="single"/>
    </w:rPr>
  </w:style>
  <w:style w:type="character" w:styleId="1004">
    <w:name w:val="Знак примечания1"/>
    <w:next w:val="1004"/>
    <w:link w:val="929"/>
    <w:rPr>
      <w:sz w:val="16"/>
      <w:szCs w:val="16"/>
    </w:rPr>
  </w:style>
  <w:style w:type="character" w:styleId="1005">
    <w:name w:val="highlight highlight_active"/>
    <w:basedOn w:val="1001"/>
    <w:next w:val="1005"/>
    <w:link w:val="929"/>
  </w:style>
  <w:style w:type="character" w:styleId="1006">
    <w:name w:val="Текст примечания Знак"/>
    <w:next w:val="1006"/>
    <w:link w:val="929"/>
  </w:style>
  <w:style w:type="character" w:styleId="1007">
    <w:name w:val="Основной текст с отступом Знак"/>
    <w:next w:val="1007"/>
    <w:link w:val="929"/>
  </w:style>
  <w:style w:type="character" w:styleId="1008">
    <w:name w:val="Номер строки"/>
    <w:next w:val="1008"/>
    <w:link w:val="929"/>
  </w:style>
  <w:style w:type="paragraph" w:styleId="1009">
    <w:name w:val="Заголовок"/>
    <w:basedOn w:val="929"/>
    <w:next w:val="1010"/>
    <w:link w:val="929"/>
    <w:pPr>
      <w:ind w:left="0" w:right="-335" w:firstLine="0"/>
      <w:jc w:val="center"/>
    </w:pPr>
    <w:rPr>
      <w:b/>
    </w:rPr>
  </w:style>
  <w:style w:type="paragraph" w:styleId="1010">
    <w:name w:val="Основной текст"/>
    <w:basedOn w:val="929"/>
    <w:next w:val="1010"/>
    <w:link w:val="929"/>
    <w:pPr>
      <w:spacing w:before="0" w:after="120"/>
    </w:pPr>
  </w:style>
  <w:style w:type="paragraph" w:styleId="1011">
    <w:name w:val="Список"/>
    <w:basedOn w:val="1010"/>
    <w:next w:val="1011"/>
    <w:link w:val="929"/>
    <w:rPr>
      <w:rFonts w:ascii="PT Astra Serif" w:hAnsi="PT Astra Serif" w:cs="Noto Sans Devanagari"/>
    </w:rPr>
  </w:style>
  <w:style w:type="paragraph" w:styleId="1012">
    <w:name w:val="Название объекта"/>
    <w:basedOn w:val="929"/>
    <w:next w:val="1012"/>
    <w:link w:val="929"/>
    <w:qFormat/>
    <w:pPr>
      <w:spacing w:before="120" w:after="120"/>
      <w:suppressLineNumbers/>
    </w:pPr>
    <w:rPr>
      <w:rFonts w:ascii="PT Astra Serif" w:hAnsi="PT Astra Serif" w:cs="Noto Sans Devanagari"/>
      <w:i/>
      <w:iCs/>
      <w:sz w:val="24"/>
      <w:szCs w:val="24"/>
    </w:rPr>
  </w:style>
  <w:style w:type="paragraph" w:styleId="1013">
    <w:name w:val="Указатель1"/>
    <w:basedOn w:val="929"/>
    <w:next w:val="1013"/>
    <w:link w:val="929"/>
    <w:pPr>
      <w:suppressLineNumbers/>
    </w:pPr>
    <w:rPr>
      <w:rFonts w:ascii="PT Astra Serif" w:hAnsi="PT Astra Serif" w:cs="Noto Sans Devanagari"/>
    </w:rPr>
  </w:style>
  <w:style w:type="paragraph" w:styleId="1014">
    <w:name w:val="Колонтитул"/>
    <w:basedOn w:val="929"/>
    <w:next w:val="1014"/>
    <w:link w:val="929"/>
    <w:pPr>
      <w:tabs>
        <w:tab w:val="center" w:pos="4819" w:leader="none"/>
        <w:tab w:val="right" w:pos="9638" w:leader="none"/>
      </w:tabs>
      <w:suppressLineNumbers/>
    </w:pPr>
  </w:style>
  <w:style w:type="paragraph" w:styleId="1015">
    <w:name w:val="Верхний колонтитул"/>
    <w:basedOn w:val="929"/>
    <w:next w:val="1015"/>
    <w:link w:val="929"/>
    <w:pPr>
      <w:tabs>
        <w:tab w:val="center" w:pos="4153" w:leader="none"/>
        <w:tab w:val="right" w:pos="8306" w:leader="none"/>
      </w:tabs>
    </w:pPr>
  </w:style>
  <w:style w:type="paragraph" w:styleId="1016">
    <w:name w:val="Нижний колонтитул"/>
    <w:basedOn w:val="929"/>
    <w:next w:val="1016"/>
    <w:link w:val="929"/>
    <w:pPr>
      <w:tabs>
        <w:tab w:val="center" w:pos="4153" w:leader="none"/>
        <w:tab w:val="right" w:pos="8306" w:leader="none"/>
      </w:tabs>
    </w:pPr>
  </w:style>
  <w:style w:type="paragraph" w:styleId="1017">
    <w:name w:val="Основной текст с отступом"/>
    <w:basedOn w:val="929"/>
    <w:next w:val="1017"/>
    <w:link w:val="929"/>
    <w:pPr>
      <w:ind w:left="0" w:right="-1" w:firstLine="567"/>
      <w:jc w:val="both"/>
    </w:pPr>
  </w:style>
  <w:style w:type="paragraph" w:styleId="1018">
    <w:name w:val="Основной текст с отступом 21"/>
    <w:basedOn w:val="929"/>
    <w:next w:val="1018"/>
    <w:link w:val="929"/>
    <w:pPr>
      <w:ind w:left="0" w:right="-1" w:firstLine="567"/>
      <w:jc w:val="both"/>
    </w:pPr>
    <w:rPr>
      <w:color w:val="0000ff"/>
    </w:rPr>
  </w:style>
  <w:style w:type="paragraph" w:styleId="1019">
    <w:name w:val="Основной текст с отступом 31"/>
    <w:basedOn w:val="929"/>
    <w:next w:val="1019"/>
    <w:link w:val="929"/>
    <w:pPr>
      <w:ind w:left="567" w:right="0" w:firstLine="426"/>
      <w:jc w:val="both"/>
      <w:spacing w:line="220" w:lineRule="exact"/>
    </w:pPr>
  </w:style>
  <w:style w:type="paragraph" w:styleId="1020">
    <w:name w:val="Текст выноски"/>
    <w:basedOn w:val="929"/>
    <w:next w:val="1020"/>
    <w:link w:val="929"/>
    <w:rPr>
      <w:rFonts w:ascii="Tahoma" w:hAnsi="Tahoma" w:cs="Tahoma"/>
      <w:sz w:val="16"/>
      <w:szCs w:val="16"/>
    </w:rPr>
  </w:style>
  <w:style w:type="paragraph" w:styleId="1021">
    <w:name w:val="LO-Normal"/>
    <w:next w:val="1021"/>
    <w:link w:val="929"/>
    <w:pPr>
      <w:widowControl w:val="off"/>
      <w:suppressLineNumbers/>
    </w:pPr>
    <w:rPr>
      <w:lang w:val="ru-RU" w:eastAsia="zh-CN" w:bidi="ar-SA"/>
    </w:rPr>
  </w:style>
  <w:style w:type="paragraph" w:styleId="1022">
    <w:name w:val="Iniiaiie oaeno io?aoa"/>
    <w:next w:val="1022"/>
    <w:link w:val="929"/>
    <w:pPr>
      <w:ind w:firstLine="720"/>
      <w:jc w:val="both"/>
      <w:spacing w:line="240" w:lineRule="atLeast"/>
      <w:widowControl w:val="off"/>
    </w:pPr>
    <w:rPr>
      <w:sz w:val="24"/>
      <w:szCs w:val="24"/>
      <w:lang w:val="en-US" w:eastAsia="zh-CN" w:bidi="ar-SA"/>
    </w:rPr>
  </w:style>
  <w:style w:type="paragraph" w:styleId="1023">
    <w:name w:val="Стандартный HTML"/>
    <w:basedOn w:val="929"/>
    <w:next w:val="1023"/>
    <w:link w:val="92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rPr>
  </w:style>
  <w:style w:type="paragraph" w:styleId="1024">
    <w:name w:val="Оглавление 1"/>
    <w:basedOn w:val="929"/>
    <w:next w:val="929"/>
    <w:link w:val="929"/>
  </w:style>
  <w:style w:type="paragraph" w:styleId="1025">
    <w:name w:val=" Знак"/>
    <w:basedOn w:val="929"/>
    <w:next w:val="1025"/>
    <w:link w:val="929"/>
    <w:pPr>
      <w:ind w:left="390" w:right="0" w:hanging="390"/>
      <w:jc w:val="both"/>
      <w:spacing w:before="0" w:after="160" w:line="240" w:lineRule="exact"/>
      <w:tabs>
        <w:tab w:val="left" w:pos="390" w:leader="none"/>
      </w:tabs>
    </w:pPr>
    <w:rPr>
      <w:rFonts w:ascii="Verdana" w:hAnsi="Verdana" w:cs="Arial"/>
      <w:lang w:val="en-US"/>
    </w:rPr>
  </w:style>
  <w:style w:type="paragraph" w:styleId="1026">
    <w:name w:val=" Знак1"/>
    <w:basedOn w:val="929"/>
    <w:next w:val="1026"/>
    <w:link w:val="929"/>
    <w:pPr>
      <w:ind w:left="390" w:right="0" w:hanging="390"/>
      <w:jc w:val="both"/>
      <w:spacing w:before="0" w:after="160" w:line="240" w:lineRule="exact"/>
      <w:tabs>
        <w:tab w:val="left" w:pos="390" w:leader="none"/>
      </w:tabs>
    </w:pPr>
    <w:rPr>
      <w:rFonts w:ascii="Verdana" w:hAnsi="Verdana" w:cs="Arial"/>
      <w:lang w:val="en-US"/>
    </w:rPr>
  </w:style>
  <w:style w:type="paragraph" w:styleId="1027">
    <w:name w:val="Текст примечания1"/>
    <w:basedOn w:val="929"/>
    <w:next w:val="1027"/>
    <w:link w:val="929"/>
  </w:style>
  <w:style w:type="paragraph" w:styleId="1028">
    <w:name w:val="Тема примечания"/>
    <w:basedOn w:val="1027"/>
    <w:next w:val="1027"/>
    <w:link w:val="929"/>
    <w:rPr>
      <w:b/>
      <w:bCs/>
    </w:rPr>
  </w:style>
  <w:style w:type="paragraph" w:styleId="1029">
    <w:name w:val="List Paragraph"/>
    <w:basedOn w:val="929"/>
    <w:next w:val="1029"/>
    <w:link w:val="929"/>
    <w:pPr>
      <w:contextualSpacing/>
      <w:ind w:left="720" w:right="0" w:firstLine="0"/>
      <w:spacing w:before="0" w:after="200" w:line="276" w:lineRule="auto"/>
    </w:pPr>
    <w:rPr>
      <w:rFonts w:ascii="Calibri" w:hAnsi="Calibri" w:cs="Calibri"/>
      <w:sz w:val="22"/>
      <w:szCs w:val="22"/>
    </w:rPr>
  </w:style>
  <w:style w:type="paragraph" w:styleId="1030">
    <w:name w:val="Обычный (веб)"/>
    <w:basedOn w:val="929"/>
    <w:next w:val="1030"/>
    <w:link w:val="929"/>
    <w:pPr>
      <w:spacing w:before="100" w:after="100"/>
    </w:pPr>
    <w:rPr>
      <w:sz w:val="24"/>
      <w:szCs w:val="24"/>
    </w:rPr>
  </w:style>
  <w:style w:type="paragraph" w:styleId="1031">
    <w:name w:val="ConsPlusNormal"/>
    <w:next w:val="1031"/>
    <w:link w:val="929"/>
    <w:rPr>
      <w:rFonts w:ascii="Arial" w:hAnsi="Arial" w:cs="Arial"/>
      <w:lang w:val="ru-RU" w:eastAsia="zh-CN" w:bidi="ar-SA"/>
    </w:rPr>
  </w:style>
  <w:style w:type="paragraph" w:styleId="1032">
    <w:name w:val="Содержимое таблицы"/>
    <w:basedOn w:val="929"/>
    <w:next w:val="1032"/>
    <w:link w:val="929"/>
    <w:pPr>
      <w:widowControl w:val="off"/>
      <w:suppressLineNumbers/>
    </w:pPr>
  </w:style>
  <w:style w:type="paragraph" w:styleId="1033">
    <w:name w:val="Заголовок таблицы"/>
    <w:basedOn w:val="1032"/>
    <w:next w:val="1033"/>
    <w:link w:val="929"/>
    <w:pPr>
      <w:jc w:val="center"/>
      <w:suppressLineNumbers/>
    </w:pPr>
    <w:rPr>
      <w:b/>
      <w:bCs/>
    </w:rPr>
  </w:style>
  <w:style w:type="character" w:styleId="1034" w:default="1">
    <w:name w:val="Default Paragraph Font"/>
    <w:uiPriority w:val="1"/>
    <w:semiHidden/>
    <w:unhideWhenUsed/>
  </w:style>
  <w:style w:type="numbering" w:styleId="1035" w:default="1">
    <w:name w:val="No List"/>
    <w:uiPriority w:val="99"/>
    <w:semiHidden/>
    <w:unhideWhenUsed/>
  </w:style>
  <w:style w:type="table" w:styleId="103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ЭЛЕКТРОСНАБЖЕНИЯ</dc:title>
  <dc:creator>user</dc:creator>
  <cp:revision>9</cp:revision>
  <dcterms:created xsi:type="dcterms:W3CDTF">2024-11-14T09:43:00Z</dcterms:created>
  <dcterms:modified xsi:type="dcterms:W3CDTF">2024-11-14T11:49:54Z</dcterms:modified>
  <cp:version>1048576</cp:version>
</cp:coreProperties>
</file>